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($24.750.474,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$24.750.474</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$6.187.618</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$30.938.092 / $6.187.618</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($0),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$25.200 = $16.750),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5.10)</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($30.938.092), no contra el costo puro: la diferencia entre ambos ($6.187.618)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$71.150) queda condicionado a que la medición del telar (tarea 5.10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Marcha/Pausa; Nivel 2: Dobby con relés de selección,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(39,6% Hardware / 60,4% Software). Los componentes electrónicos ($71.150)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$9.807.563</w:t>
            </w:r>
          </w:p>
        </w:tc>
        <w:tc>
          <w:tcPr>
            <w:tcW w:type="dxa" w:w="2500"/>
            <w:vAlign w:val="center"/>
          </w:tcPr>
          <w:p>
            <w:r>
              <w:rPr>
                <w:b w:val="false"/>
                <w:bCs w:val="false"/>
                <w:color w:val="000000"/>
                <w:sz w:val="19"/>
                <w:szCs w:val="19"/>
              </w:rPr>
              <w:t xml:space="preserve">$12.259.454</w:t>
            </w:r>
          </w:p>
        </w:tc>
        <w:tc>
          <w:tcPr>
            <w:tcW w:type="dxa" w:w="1000"/>
            <w:vAlign w:val="center"/>
          </w:tcPr>
          <w:p>
            <w:r>
              <w:rPr>
                <w:b w:val="false"/>
                <w:bCs w:val="false"/>
                <w:color w:val="000000"/>
                <w:sz w:val="19"/>
                <w:szCs w:val="19"/>
              </w:rPr>
              <w:t xml:space="preserve">39,6%</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$14.959.011</w:t>
            </w:r>
          </w:p>
        </w:tc>
        <w:tc>
          <w:tcPr>
            <w:tcW w:type="dxa" w:w="2500"/>
            <w:vAlign w:val="center"/>
          </w:tcPr>
          <w:p>
            <w:r>
              <w:rPr>
                <w:b w:val="false"/>
                <w:bCs w:val="false"/>
                <w:color w:val="000000"/>
                <w:sz w:val="19"/>
                <w:szCs w:val="19"/>
              </w:rPr>
              <w:t xml:space="preserve">$18.698.764</w:t>
            </w:r>
          </w:p>
        </w:tc>
        <w:tc>
          <w:tcPr>
            <w:tcW w:type="dxa" w:w="1000"/>
            <w:vAlign w:val="center"/>
          </w:tcPr>
          <w:p>
            <w:r>
              <w:rPr>
                <w:b w:val="false"/>
                <w:bCs w:val="false"/>
                <w:color w:val="000000"/>
                <w:sz w:val="19"/>
                <w:szCs w:val="19"/>
              </w:rPr>
              <w:t xml:space="preserve">60,4%</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$24.750.474</w:t>
            </w:r>
          </w:p>
        </w:tc>
        <w:tc>
          <w:tcPr>
            <w:tcW w:type="dxa" w:w="2500"/>
            <w:shd w:fill="D9E1F2" w:val="clear"/>
            <w:vAlign w:val="center"/>
          </w:tcPr>
          <w:p>
            <w:r>
              <w:rPr>
                <w:b/>
                <w:bCs/>
                <w:color w:val="000000"/>
                <w:sz w:val="19"/>
                <w:szCs w:val="19"/>
              </w:rPr>
              <w:t xml:space="preserve">$30.938.092</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($30.938.092).</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$6.187.618 sobre un presupuesto final de $30.938.092. La garantía del sistema entregado queda fijada entre 1 y 3 meses desde la aceptación, cubriendo soporte de software/firmware sin costo adicional durante ese período. Además del paquete combinado, el equipo tiene la opción de vender Hardware ($12.259.454) y Software ($18.698.764) por separado, ampliando el mercado posible sin cambiar el costo total del proyecto. Estas definiciones quedan listas para incorporarse a la Documentación de Proyecto (v4.0) y para presentarse en la 3ra presentación de mediados de septiembre.</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