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Panasonic Corporation. (2019). </w:t>
      </w:r>
      <w:r w:rsidDel="00000000" w:rsidR="00000000" w:rsidRPr="00000000">
        <w:rPr>
          <w:rFonts w:ascii="IBM Plex Sans" w:cs="IBM Plex Sans" w:eastAsia="IBM Plex Sans" w:hAnsi="IBM Plex Sans"/>
          <w:b w:val="1"/>
          <w:bCs w:val="1"/>
          <w:i/>
          <w:color w:val="16304F"/>
          <w:rtl w:val="0"/>
        </w:rPr>
        <w:t>AQY212GH: PhotoMOS relay, general purpose 60 V, 1 A</w:t>
      </w:r>
      <w:r w:rsidDel="00000000" w:rsidR="00000000" w:rsidRPr="00000000">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Omron Corporation. (2020). </w:t>
      </w:r>
      <w:r w:rsidDel="00000000" w:rsidR="00000000" w:rsidRPr="00000000">
        <w:rPr>
          <w:rFonts w:ascii="IBM Plex Sans" w:cs="IBM Plex Sans" w:eastAsia="IBM Plex Sans" w:hAnsi="IBM Plex Sans"/>
          <w:b w:val="1"/>
          <w:bCs w:val="1"/>
          <w:i/>
          <w:color w:val="16304F"/>
          <w:rtl w:val="0"/>
        </w:rPr>
        <w:t>Solid state relays: technical guide</w:t>
      </w:r>
      <w:r w:rsidDel="00000000" w:rsidR="00000000" w:rsidRPr="00000000">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Espressif Systems. (2023). </w:t>
      </w:r>
      <w:r w:rsidDel="00000000" w:rsidR="00000000" w:rsidRPr="00000000">
        <w:rPr>
          <w:rFonts w:ascii="IBM Plex Sans" w:cs="IBM Plex Sans" w:eastAsia="IBM Plex Sans" w:hAnsi="IBM Plex Sans"/>
          <w:b w:val="1"/>
          <w:bCs w:val="1"/>
          <w:i/>
          <w:color w:val="16304F"/>
          <w:rtl w:val="0"/>
        </w:rPr>
        <w:t>ESP32 series datasheet (versión 4.3)</w:t>
      </w:r>
      <w:r w:rsidDel="00000000" w:rsidR="00000000" w:rsidRPr="00000000">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World Wide Web Consortium. (2021). </w:t>
      </w:r>
      <w:r w:rsidDel="00000000" w:rsidR="00000000" w:rsidRPr="00000000">
        <w:rPr>
          <w:rFonts w:ascii="IBM Plex Sans" w:cs="IBM Plex Sans" w:eastAsia="IBM Plex Sans" w:hAnsi="IBM Plex Sans"/>
          <w:b w:val="1"/>
          <w:bCs w:val="1"/>
          <w:i/>
          <w:color w:val="16304F"/>
          <w:rtl w:val="0"/>
        </w:rPr>
        <w:t>Web Authentication: An API for accessing public key credentials, Level 2</w:t>
      </w:r>
      <w:r w:rsidDel="00000000" w:rsidR="00000000" w:rsidRPr="00000000">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Vamatex S.p.A. (1989). </w:t>
      </w:r>
      <w:r w:rsidDel="00000000" w:rsidR="00000000" w:rsidRPr="00000000">
        <w:rPr>
          <w:rFonts w:ascii="IBM Plex Sans" w:cs="IBM Plex Sans" w:eastAsia="IBM Plex Sans" w:hAnsi="IBM Plex Sans"/>
          <w:b w:val="1"/>
          <w:bCs w:val="1"/>
          <w:i/>
          <w:color w:val="16304F"/>
          <w:rtl w:val="0"/>
        </w:rPr>
        <w:t>Telaio C 201: manuale di uso e manutenzione</w:t>
      </w:r>
      <w:r w:rsidDel="00000000" w:rsidR="00000000" w:rsidRPr="00000000">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Poder Legislativo de la Nación Argentina. (1972). </w:t>
      </w:r>
      <w:r w:rsidDel="00000000" w:rsidR="00000000" w:rsidRPr="00000000">
        <w:rPr>
          <w:rFonts w:ascii="IBM Plex Sans" w:cs="IBM Plex Sans" w:eastAsia="IBM Plex Sans" w:hAnsi="IBM Plex Sans"/>
          <w:b w:val="1"/>
          <w:bCs w:val="1"/>
          <w:i/>
          <w:color w:val="16304F"/>
          <w:rtl w:val="0"/>
        </w:rPr>
        <w:t>Ley N.º 19.587 de Higiene y Seguridad en el Trabajo</w:t>
      </w:r>
      <w:r w:rsidDel="00000000" w:rsidR="00000000" w:rsidRPr="00000000">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del telar y cada columna un elemento de selección.</w:t>
      </w:r>
    </w:p>
    <w:p>
      <w:pPr>
        <w:jc w:val="center"/>
      </w:pPr>
      <w:r>
        <w:rPr>
          <w:rFonts w:ascii="IBM Plex Sans" w:hAnsi="IBM Plex Sans" w:cs="IBM Plex Sans" w:eastAsia="IBM Plex Sans"/>
          <w:i/>
          <w:color w:val="606060"/>
          <w:sz w:val="18"/>
        </w:rPr>
        <w:t>Figura 9.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11.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14.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$73.653, a los que se agregan $18.750 del Bloque C y $36.500 del Bloque D, totalizando $128.903 en materiales. Sumando los gastos operativos de $109.675 y el valor del trabajo del equipo, valuado en $24.527.996 según las tarifas del proyecto, el costo total asciende a $24.766.574. Aplicando el margen del 25 % previsto, el presupuesto final es de $30.958.218, con una ganancia proyectada de $6.191.644.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$18.750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$36.500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$128.903</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($71.150)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