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137,65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$6.612.362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51,73</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$2.816.311</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68,97</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$3.754.899</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101,12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$5.181.389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16,57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$849.047</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$1.210.545</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$31.325.190</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5.9)</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$31.325.190</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$31.557.004</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$7.889.251</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$39.446.255</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$31.557.004 de costo total, el 99,3% ($31.325.190)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633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$37.600.000 (y el presupuesto final con margen a cerca de $47.300.000),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$31.557.004 (personal + componentes + gastos varios), se aplica un margen del 25%, lo que deja una ganancia proyectada de $7.889.251 sobre un presupuesto final de $39.446.255.</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después de medir el lector óptico.</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($39.446.255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$31.557.004, compuesto casi en su totalidad (99,3%) por el valor del trabajo del equipo y solo marginalmente (0,7%, $231.814) por dinero que realmente hay que desembolsar en componentes y gastos operativos. Con el margen del 25% ya usado en la plantilla original, el presupuesto final asciende a $39.446.255, dejando una ganancia proyectada de $7.889.251.</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