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los botones de Marcha, Pausa y Retroceder mediante relés optoacoplados conectados en paralelo a la botonera física existente. La sincronización y el conteo de pasadas se ejecutan a través de un sensor inductivo/óptico montado sobre la estructura mecánica.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mediciones y verificaciones) para confirmar la señal de cada lector óptico antes de conectar los relés.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Intercalar (agrupa filas seguidas, cada una con su bobina, para que se alternen pasada por pasada: por ejemplo las filas de las bobinas 1, 3, 4 y 2 durante 120 pasadas), el simulador de color de hilo, la ficha del dibujo (metros por pasada e hilado)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pasada; celda 1 = la bobina se activa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22–47 µF y 470 µF</w:t>
            </w:r>
          </w:p>
        </w:tc>
        <w:tc>
          <w:tcPr>
            <w:tcW w:type="dxa" w:w="2209"/>
          </w:tcPr>
          <w:p>
            <w:pPr>
              <w:jc w:val="both"/>
            </w:pPr>
            <w:r>
              <w:rPr>
                <w:rFonts w:ascii="IBM Plex Sans" w:hAnsi="IBM Plex Sans" w:cs="IBM Plex Sans" w:eastAsia="IBM Plex Sans"/>
              </w:rPr>
              <w:t xml:space="preserve">Los de 100 nF filtran el ruido de conmutación; los de 22–47 µF aplanan la tensión rectificada del sensado (uno por botón: sin ellos una pulsación se lee como varias);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de 330 Ω y 10 kΩ, una de cada por canal</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+ 4</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con el telar dibujado arriba, junto con las instrucciones de tejido;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los relés LCA110 del Nivel 2.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