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3107"/>
        <w:gridCol w:w="1900"/>
        <w:gridCol w:w="1510"/>
        <w:gridCol w:w="1501"/>
        <w:gridCol w:w="1649"/>
        <w:gridCol w:w="1800"/>
        <w:gridCol w:w="2289"/>
        <w:tblGridChange w:id="0">
          <w:tblGrid>
            <w:gridCol w:w="1129"/>
            <w:gridCol w:w="4111"/>
            <w:gridCol w:w="1459"/>
            <w:gridCol w:w="1510"/>
            <w:gridCol w:w="1501"/>
            <w:gridCol w:w="1649"/>
            <w:gridCol w:w="1237"/>
            <w:gridCol w:w="2289"/>
          </w:tblGrid>
        </w:tblGridChange>
      </w:tblGrid>
      <w:tr>
        <w:trPr>
          <w:cantSplit/>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$6.660.399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72,30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$3.936.193</w:t>
            </w:r>
            <w:r>
              <w:rPr>
                <w:rtl w:val="0"/>
              </w:rPr>
            </w:r>
          </w:p>
        </w:tc>
      </w:tr>
      <w:tr>
        <w:trPr>
          <w:cantSplit/>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$5.232.629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$31.844.539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tag w:val="goog_rdk_0"/>
          <w:id w:val="663124119"/>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Después de medir el lector (medido el 17/10/2026)</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$31.844.539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$32.076.353</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$8.019.088</w:t>
            </w:r>
            <w:r>
              <w:rPr>
                <w:rtl w:val="0"/>
              </w:rPr>
            </w:r>
          </w:p>
        </w:tc>
      </w:tr>
      <w:tr>
        <w:trPr>
          <w:cantSplit/>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$40.095.441</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$32.076.353 de costo total, el 99,3% ($31.844.539)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643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$38.200.000 (y el presupuesto final con margen a cerca de $48.100.000),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keepNext/>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Cable de control: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tag w:val="goog_rdk_1"/>
          <w:id w:val="-707200803"/>
        </w:sdtPr>
        <w:sdtContent>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Gabinete o caja de protección:</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$32.076.353 (personal + componentes + gastos varios), se aplica un margen del 25%, lo que deja una ganancia proyectada de $8.019.088 sobre un presupuesto final de $40.095.441.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con la medición del lector óptico, hecha el 17/10/2026.</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También incluye la Garantía (sección 10.7 de la Documentación de Proyecto); acá se resume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trHeight w:val="360" w:hRule="atLeast"/>
          <w:tblHeader/>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keepNext/>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trHeight w:val="705" w:hRule="atLeast"/>
          <w:tblHeader/>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($40.095.441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keepNext/>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$32.076.353, compuesto casi en su totalidad (99,3%) por el valor del trabajo del equipo y solo marginalmente (0,7%, $231.814) por dinero que realmente hay que desembolsar en componentes y gastos operativos. Con el margen del 25% ya usado en la plantilla original, el presupuesto final asciende a $40.095.441, dejando una ganancia proyectada de $8.019.088.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