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 la </w:t>
      </w:r>
      <w:r>
        <w:rPr>
          <w:rFonts w:ascii="IBM Plex Sans" w:cs="IBM Plex Sans" w:eastAsia="IBM Plex Sans" w:hAnsi="IBM Plex Sans"/>
          <w:b/>
          <w:bCs/>
          <w:sz w:val="21"/>
          <w:szCs w:val="21"/>
        </w:rPr>
        <w:t xml:space="preserve">parada de emergencia</w:t>
      </w:r>
      <w:r>
        <w:rPr>
          <w:rFonts w:ascii="IBM Plex Sans" w:cs="IBM Plex Sans" w:eastAsia="IBM Plex Sans" w:hAnsi="IBM Plex Sans"/>
          <w:sz w:val="21"/>
          <w:szCs w:val="21"/>
        </w:rPr>
        <w:t xml:space="preserve"> del telar.</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 la parada de emergencia.</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