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se está armando la plaqueta para la prueba en la máquina. Antes de conectar los relés hay que medir en el telar la alimentación y la señal de un lector óptico (ver Guía de mediciones y verificaciones): la alimentación define la resistencia de protección de cada canal.</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La huella se lee con el dedo descubierto, sin guante.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Sesión iniciada, dibujo en edición y accesos a las funciones principales (el estado del telar se ve en el Editor).</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En las dos paletas, el texto principal y el color de acento superan la relación AAA (7:1); el texto tenue cumple la AA (4,5:1).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 desarrollo (Etapa 05)</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160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alimentación (220 V → 5 V), cableado ESP32↔relés, firmware en C++ y prueba integral de Marcha, Pausa y Retroceder en el telar real (hecha el 19/09/2026).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18/10/2026,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con la plaqueta en armado y la medición del lector pendiente).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5.9)</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e instalado en el telar; (2) la medición del lector óptico en el telar; y (3) lo que falta de los Bloques C y D (el sensor ya se compró y el relé LCA110 se probó en protoboard), cuya resistencia de protección depende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18/10/2026.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