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Cada fila lleva su bobina; las filas del grupo se recorren en orden, cada una tantas pasadas como su número de la derecha (normalmente 1), y vuelven a empezar hasta completar las pasadas del intercalado, contando cada bobina como una pasada. Por ejemplo, filas 1 a 4 con las bobinas 1, 3, 4 y 2, intercaladas 120 pasadas: 1, 3, 4, 2, 1, 3… (la secuencia entra 30 veces). Se abre con el botón Intercalar o tocando el «+» de la columna ⇄, a la derecha de cada fila, y se indica desde qué fila, hasta qué fila y cuántas pasadas. Antes de aplicar, la ventana muestra el orden de las bobinas y cuántas veces entra la secuencia. En la grilla, una llave en la columna ⇄ une las filas del grupo y muestra sus pasadas, y el cuadrado de cada bobina muestra su lugar en el orden (1, 2, 3…). Tocar la llave abre el intercalado para cambiarlo o quitarlo. Dos intercalados no pueden compartir filas, y una vuelta de un grupo puede tener hasta 32 pasadas.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(en un intercalado, la llave que une sus filas, sus pasadas y el orden de cada bobina) y una vista previa de la tela a escala, con el telar dibujado arriba como si la tela saliera de la máquina (a la izquierda, las bobinas de trama numeradas con su color y sus alimentadores), en la que cada fila es una franja con el alto de sus pasadas y el color de su hilo (sin colores, un gris distinto por bobina). Al costado, una llave marca cada vuelta y, si están cargados los metros por pasada, una regla marca los centímetros de tela.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