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2"/>
          <w:szCs w:val="32"/>
        </w:rPr>
        <w:t xml:space="preserve">MODALIDAD DE INVERSIÓN, GANANCIA Y CONTRATO/GARANTÍA</w:t>
      </w:r>
    </w:p>
    <w:p>
      <w:pPr>
        <w:spacing w:after="100"/>
      </w:pPr>
      <w:r>
        <w:rPr>
          <w:color w:val="2E75B6"/>
          <w:sz w:val="22"/>
          <w:szCs w:val="22"/>
        </w:rPr>
        <w:t xml:space="preserve">Proyecto: Automatización de Telar Industrial, Lectura y Control de Inserción de Trama</w:t>
      </w:r>
    </w:p>
    <w:p>
      <w:pPr>
        <w:spacing w:after="400"/>
      </w:pPr>
      <w:r>
        <w:rPr>
          <w:i/>
          <w:iCs/>
          <w:color w:val="808080"/>
          <w:sz w:val="20"/>
          <w:szCs w:val="20"/>
        </w:rPr>
        <w:t xml:space="preserve">7mo año, Informática B</w:t>
      </w:r>
    </w:p>
    <w:p>
      <w:pPr>
        <w:spacing w:after="150" w:before="200"/>
      </w:pPr>
      <w:r>
        <w:rPr>
          <w:b/>
          <w:bCs/>
          <w:color w:val="1F4E78"/>
          <w:sz w:val="24"/>
          <w:szCs w:val="24"/>
        </w:rPr>
        <w:t xml:space="preserve">Índice</w:t>
      </w:r>
    </w:p>
    <w:p>
      <w:pPr>
        <w:spacing w:after="90"/>
      </w:pPr>
      <w:r>
        <w:rPr>
          <w:sz w:val="21"/>
          <w:szCs w:val="21"/>
        </w:rPr>
        <w:t xml:space="preserve">1. Ganancia del proyecto</w:t>
      </w:r>
    </w:p>
    <w:p>
      <w:pPr>
        <w:spacing w:after="90"/>
      </w:pPr>
      <w:r>
        <w:rPr>
          <w:sz w:val="21"/>
          <w:szCs w:val="21"/>
        </w:rPr>
        <w:t xml:space="preserve">2. Modalidad de inversión definida: Mixta</w:t>
      </w:r>
    </w:p>
    <w:p>
      <w:pPr>
        <w:pStyle w:val="Heading2"/>
        <w:spacing w:after="120" w:before="240"/>
      </w:pPr>
      <w:r>
        <w:rPr>
          <w:szCs w:val="21"/>
        </w:rPr>
        <w:t>2.1 Plan de aportes por etapa</w:t>
      </w:r>
    </w:p>
    <w:p>
      <w:pPr>
        <w:pStyle w:val="Heading2"/>
        <w:spacing w:after="120" w:before="240"/>
      </w:pPr>
      <w:r>
        <w:rPr>
          <w:szCs w:val="21"/>
        </w:rPr>
        <w:t>2.2 Recuperación de la inversión</w:t>
      </w:r>
    </w:p>
    <w:p>
      <w:pPr>
        <w:spacing w:after="90"/>
      </w:pPr>
      <w:r>
        <w:rPr>
          <w:sz w:val="21"/>
          <w:szCs w:val="21"/>
        </w:rPr>
        <w:t xml:space="preserve">3. Contrato</w:t>
      </w:r>
    </w:p>
    <w:p>
      <w:pPr>
        <w:pStyle w:val="Heading2"/>
        <w:spacing w:after="120" w:before="240"/>
      </w:pPr>
      <w:r>
        <w:rPr>
          <w:szCs w:val="21"/>
        </w:rPr>
        <w:t>3.1 Objeto y alcance</w:t>
      </w:r>
    </w:p>
    <w:p>
      <w:pPr>
        <w:pStyle w:val="Heading2"/>
        <w:spacing w:after="120" w:before="240"/>
      </w:pPr>
      <w:r>
        <w:rPr>
          <w:szCs w:val="21"/>
        </w:rPr>
        <w:t>3.2 Plazos y entregables</w:t>
      </w:r>
    </w:p>
    <w:p>
      <w:pPr>
        <w:spacing w:after="90"/>
      </w:pPr>
      <w:r>
        <w:rPr>
          <w:sz w:val="21"/>
          <w:szCs w:val="21"/>
        </w:rPr>
        <w:t xml:space="preserve">4. Garantía</w:t>
      </w:r>
    </w:p>
    <w:p>
      <w:pPr>
        <w:pStyle w:val="Heading2"/>
        <w:spacing w:after="120" w:before="240"/>
      </w:pPr>
      <w:r>
        <w:rPr>
          <w:szCs w:val="21"/>
        </w:rPr>
        <w:t>4.1 Vigencia y cobertura</w:t>
      </w:r>
    </w:p>
    <w:p>
      <w:pPr>
        <w:spacing w:after="90"/>
      </w:pPr>
      <w:r>
        <w:rPr>
          <w:sz w:val="21"/>
          <w:szCs w:val="21"/>
        </w:rPr>
        <w:t xml:space="preserve">5. Dos formas de venta: Hardware y Software</w:t>
      </w:r>
    </w:p>
    <w:p>
      <w:pPr>
        <w:pStyle w:val="Heading2"/>
        <w:spacing w:after="120" w:before="240"/>
      </w:pPr>
      <w:r>
        <w:rPr>
          <w:szCs w:val="21"/>
        </w:rPr>
        <w:t>5.1 Metodología de reparto</w:t>
      </w:r>
    </w:p>
    <w:p>
      <w:pPr>
        <w:pStyle w:val="Heading2"/>
        <w:spacing w:after="120" w:before="240"/>
      </w:pPr>
      <w:r>
        <w:rPr>
          <w:szCs w:val="21"/>
        </w:rPr>
        <w:t>5.2 Costo y precio por producto</w:t>
      </w:r>
    </w:p>
    <w:p>
      <w:pPr>
        <w:pStyle w:val="Heading2"/>
        <w:spacing w:after="120" w:before="240"/>
      </w:pPr>
      <w:r>
        <w:rPr>
          <w:szCs w:val="21"/>
        </w:rPr>
        <w:t>5.3 Comparación de las dos vías</w:t>
      </w:r>
    </w:p>
    <w:p>
      <w:pPr>
        <w:spacing w:after="90"/>
      </w:pPr>
      <w:r>
        <w:rPr>
          <w:sz w:val="21"/>
          <w:szCs w:val="21"/>
        </w:rPr>
        <w:t xml:space="preserve">6. Conclusión</w:t>
      </w:r>
    </w:p>
    <w:p>
      <w:r>
        <w:br w:type="page"/>
      </w:r>
    </w:p>
    <w:p>
      <w:pPr>
        <w:pStyle w:val="Heading1"/>
        <w:spacing w:after="160" w:before="360"/>
      </w:pPr>
      <w:r>
        <w:t xml:space="preserve">1. Ganancia del proyecto</w:t>
      </w:r>
    </w:p>
    <w:p>
      <w:pPr>
        <w:spacing w:after="150"/>
      </w:pPr>
      <w:r>
        <w:rPr>
          <w:b w:val="false"/>
          <w:bCs w:val="false"/>
          <w:i w:val="false"/>
          <w:iCs w:val="false"/>
        </w:rPr>
        <w:t xml:space="preserve">Sobre el costo total estimado del proyecto ($29.642.903, entre personal, componentes electrónicos y gastos varios, ver Estimación de Costos), se aplica el margen del 25% ya definido en la plantilla original, lo que deja la siguiente ganancia proyectada: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c>
          <w:tcPr>
            <w:tcW w:type="dxa" w:w="7000"/>
            <w:vAlign w:val="center"/>
          </w:tcPr>
          <w:p>
            <w:r>
              <w:rPr>
                <w:b w:val="false"/>
                <w:bCs w:val="false"/>
                <w:color w:val="000000"/>
                <w:sz w:val="19"/>
                <w:szCs w:val="19"/>
              </w:rPr>
              <w:t xml:space="preserve">Subtotal costos del proyecto (personal + componentes + varios)</w:t>
            </w:r>
          </w:p>
        </w:tc>
        <w:tc>
          <w:tcPr>
            <w:tcW w:type="dxa" w:w="2200"/>
            <w:vAlign w:val="center"/>
          </w:tcPr>
          <w:p>
            <w:r>
              <w:rPr>
                <w:b w:val="false"/>
                <w:bCs w:val="false"/>
                <w:color w:val="000000"/>
                <w:sz w:val="19"/>
                <w:szCs w:val="19"/>
              </w:rPr>
              <w:t xml:space="preserve">$29.642.903</w:t>
            </w:r>
          </w:p>
        </w:tc>
      </w:tr>
      <w:tr>
        <w:tc>
          <w:tcPr>
            <w:tcW w:type="dxa" w:w="7000"/>
            <w:vAlign w:val="center"/>
          </w:tcPr>
          <w:p>
            <w:r>
              <w:rPr>
                <w:b w:val="false"/>
                <w:bCs w:val="false"/>
                <w:color w:val="000000"/>
                <w:sz w:val="19"/>
                <w:szCs w:val="19"/>
              </w:rPr>
              <w:t xml:space="preserve">Margen (25%)</w:t>
            </w:r>
          </w:p>
        </w:tc>
        <w:tc>
          <w:tcPr>
            <w:tcW w:type="dxa" w:w="2200"/>
            <w:vAlign w:val="center"/>
          </w:tcPr>
          <w:p>
            <w:r>
              <w:rPr>
                <w:b w:val="false"/>
                <w:bCs w:val="false"/>
                <w:color w:val="000000"/>
                <w:sz w:val="19"/>
                <w:szCs w:val="19"/>
              </w:rPr>
              <w:t xml:space="preserve">$7.410.726</w:t>
            </w:r>
          </w:p>
        </w:tc>
      </w:tr>
      <w:tr>
        <w:tc>
          <w:tcPr>
            <w:tcW w:type="dxa" w:w="7000"/>
            <w:shd w:fill="C00000" w:val="clear"/>
            <w:vAlign w:val="center"/>
          </w:tcPr>
          <w:p>
            <w:r>
              <w:rPr>
                <w:b/>
                <w:bCs/>
                <w:color w:val="FFFFFF"/>
                <w:sz w:val="19"/>
                <w:szCs w:val="19"/>
              </w:rPr>
              <w:t xml:space="preserve">PRESUPUESTO FINAL / GANANCIA PROYECTADA</w:t>
            </w:r>
          </w:p>
        </w:tc>
        <w:tc>
          <w:tcPr>
            <w:tcW w:type="dxa" w:w="2200"/>
            <w:shd w:fill="C00000" w:val="clear"/>
            <w:vAlign w:val="center"/>
          </w:tcPr>
          <w:p>
            <w:r>
              <w:rPr>
                <w:b/>
                <w:bCs/>
                <w:color w:val="FFFFFF"/>
                <w:sz w:val="19"/>
                <w:szCs w:val="19"/>
              </w:rPr>
              <w:t xml:space="preserve">$37.053.629 / $7.410.726</w:t>
            </w:r>
          </w:p>
        </w:tc>
      </w:tr>
    </w:tbl>
    <w:p>
      <w:pPr>
        <w:spacing w:after="180"/>
      </w:pPr>
      <w:r>
        <w:rPr>
          <w:i/>
          <w:iCs/>
          <w:color w:val="666666"/>
          <w:sz w:val="19"/>
          <w:szCs w:val="19"/>
        </w:rPr>
        <w:t xml:space="preserve">Detalle completo de esta estimación (personal por rol, componentes por bloque, gastos varios) en el documento "Estimación de Costos, Ganancia y Aspectos Contractuales".</w:t>
      </w:r>
    </w:p>
    <w:p>
      <w:pPr>
        <w:pStyle w:val="Heading1"/>
        <w:spacing w:after="160" w:before="360"/>
      </w:pPr>
      <w:r>
        <w:t xml:space="preserve">2. Modalidad de inversión definida: Mixta</w:t>
      </w:r>
    </w:p>
    <w:p>
      <w:pPr>
        <w:spacing w:after="150"/>
      </w:pPr>
      <w:r>
        <w:rPr>
          <w:b w:val="false"/>
          <w:bCs w:val="false"/>
          <w:i w:val="false"/>
          <w:iCs w:val="false"/>
        </w:rPr>
        <w:t xml:space="preserve">El equipo definió una modalidad MIXTA: aporte inicial propio de los integrantes para arrancar el proyecto, y gestión de financiamiento externo para los bloques de mayor costo, una vez confirmada la medición del telar.</w:t>
      </w:r>
    </w:p>
    <w:p>
      <w:pPr>
        <w:pStyle w:val="Heading2"/>
        <w:spacing w:after="120" w:before="240"/>
      </w:pPr>
      <w:r>
        <w:t xml:space="preserve">2.1 Plan de aportes por etapa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200"/>
      </w:tblGrid>
      <w:tr>
        <w:trPr>
          <w:tblHeader/>
        </w:trPr>
        <w:tc>
          <w:tcPr>
            <w:tcW w:type="dxa" w:w="1400"/>
            <w:shd w:fill="2E75B6" w:val="clear"/>
            <w:vAlign w:val="center"/>
          </w:tcPr>
          <w:p>
            <w:r>
              <w:rPr>
                <w:b/>
                <w:bCs/>
                <w:color w:val="FFFFFF"/>
                <w:sz w:val="19"/>
                <w:szCs w:val="19"/>
              </w:rPr>
              <w:t xml:space="preserve">Etapa</w:t>
            </w:r>
          </w:p>
        </w:tc>
        <w:tc>
          <w:tcPr>
            <w:tcW w:type="dxa" w:w="3600"/>
            <w:shd w:fill="2E75B6" w:val="clear"/>
            <w:vAlign w:val="center"/>
          </w:tcPr>
          <w:p>
            <w:r>
              <w:rPr>
                <w:b/>
                <w:bCs/>
                <w:color w:val="FFFFFF"/>
                <w:sz w:val="19"/>
                <w:szCs w:val="19"/>
              </w:rPr>
              <w:t xml:space="preserve">Qué se financia</w:t>
            </w:r>
          </w:p>
        </w:tc>
        <w:tc>
          <w:tcPr>
            <w:tcW w:type="dxa" w:w="4200"/>
            <w:shd w:fill="2E75B6" w:val="clear"/>
            <w:vAlign w:val="center"/>
          </w:tcPr>
          <w:p>
            <w:r>
              <w:rPr>
                <w:b/>
                <w:bCs/>
                <w:color w:val="FFFFFF"/>
                <w:sz w:val="19"/>
                <w:szCs w:val="19"/>
              </w:rPr>
              <w:t xml:space="preserve">Cómo se financia</w:t>
            </w:r>
          </w:p>
        </w:tc>
      </w:tr>
      <w:tr>
        <w:tc>
          <w:tcPr>
            <w:tcW w:type="dxa" w:w="1400"/>
            <w:vAlign w:val="center"/>
          </w:tcPr>
          <w:p>
            <w:r>
              <w:rPr>
                <w:b w:val="false"/>
                <w:bCs w:val="false"/>
                <w:color w:val="000000"/>
                <w:sz w:val="19"/>
                <w:szCs w:val="19"/>
              </w:rPr>
              <w:t xml:space="preserve">1</w:t>
            </w:r>
          </w:p>
        </w:tc>
        <w:tc>
          <w:tcPr>
            <w:tcW w:type="dxa" w:w="3600"/>
            <w:vAlign w:val="center"/>
          </w:tcPr>
          <w:p>
            <w:r>
              <w:rPr>
                <w:b w:val="false"/>
                <w:bCs w:val="false"/>
                <w:color w:val="000000"/>
                <w:sz w:val="19"/>
                <w:szCs w:val="19"/>
              </w:rPr>
              <w:t xml:space="preserve">Bloque A ($73.653), arranque de la Etapa 4</w:t>
            </w:r>
          </w:p>
        </w:tc>
        <w:tc>
          <w:tcPr>
            <w:tcW w:type="dxa" w:w="4200"/>
            <w:vAlign w:val="center"/>
          </w:tcPr>
          <w:p>
            <w:r>
              <w:rPr>
                <w:b w:val="false"/>
                <w:bCs w:val="false"/>
                <w:color w:val="000000"/>
                <w:sz w:val="19"/>
                <w:szCs w:val="19"/>
              </w:rPr>
              <w:t xml:space="preserve">Aporte inicial en partes iguales entre los integrantes del equipo</w:t>
            </w:r>
          </w:p>
        </w:tc>
      </w:tr>
      <w:tr>
        <w:tc>
          <w:tcPr>
            <w:tcW w:type="dxa" w:w="1400"/>
            <w:vAlign w:val="center"/>
          </w:tcPr>
          <w:p>
            <w:r>
              <w:rPr>
                <w:b w:val="false"/>
                <w:bCs w:val="false"/>
                <w:color w:val="000000"/>
                <w:sz w:val="19"/>
                <w:szCs w:val="19"/>
              </w:rPr>
              <w:t xml:space="preserve">—</w:t>
            </w:r>
          </w:p>
        </w:tc>
        <w:tc>
          <w:tcPr>
            <w:tcW w:type="dxa" w:w="3600"/>
            <w:vAlign w:val="center"/>
          </w:tcPr>
          <w:p>
            <w:r>
              <w:rPr>
                <w:b w:val="false"/>
                <w:bCs w:val="false"/>
                <w:color w:val="000000"/>
                <w:sz w:val="19"/>
                <w:szCs w:val="19"/>
              </w:rPr>
              <w:t xml:space="preserve">(etapa suprimida: el Bloque B se eliminó del alcance)</w:t>
            </w:r>
          </w:p>
        </w:tc>
        <w:tc>
          <w:tcPr>
            <w:tcW w:type="dxa" w:w="4200"/>
            <w:vAlign w:val="center"/>
          </w:tcPr>
          <w:p>
            <w:r>
              <w:rPr>
                <w:b w:val="false"/>
                <w:bCs w:val="false"/>
                <w:color w:val="000000"/>
                <w:sz w:val="19"/>
                <w:szCs w:val="19"/>
              </w:rPr>
              <w:t xml:space="preserve">Los datos que iba a relevar esta etapa se obtuvieron por entrevistas con el dueño y documentación técnica del fabricante, sin costo.</w:t>
            </w:r>
          </w:p>
        </w:tc>
      </w:tr>
      <w:tr>
        <w:tc>
          <w:tcPr>
            <w:tcW w:type="dxa" w:w="1400"/>
            <w:vAlign w:val="center"/>
          </w:tcPr>
          <w:p>
            <w:r>
              <w:rPr>
                <w:b w:val="false"/>
                <w:bCs w:val="false"/>
                <w:color w:val="000000"/>
                <w:sz w:val="19"/>
                <w:szCs w:val="19"/>
              </w:rPr>
              <w:t xml:space="preserve">2</w:t>
            </w:r>
          </w:p>
        </w:tc>
        <w:tc>
          <w:tcPr>
            <w:tcW w:type="dxa" w:w="3600"/>
            <w:vAlign w:val="center"/>
          </w:tcPr>
          <w:p>
            <w:r>
              <w:rPr>
                <w:b w:val="false"/>
                <w:bCs w:val="false"/>
                <w:color w:val="000000"/>
                <w:sz w:val="19"/>
                <w:szCs w:val="19"/>
              </w:rPr>
              <w:t xml:space="preserve">Bloques C y D ($13.950 + $34.536 = $48.486), sensor de pasada y relés de selección</w:t>
            </w:r>
          </w:p>
        </w:tc>
        <w:tc>
          <w:tcPr>
            <w:tcW w:type="dxa" w:w="4200"/>
            <w:vAlign w:val="center"/>
          </w:tcPr>
          <w:p>
            <w:r>
              <w:rPr>
                <w:b w:val="false"/>
                <w:bCs w:val="false"/>
                <w:color w:val="000000"/>
                <w:sz w:val="19"/>
                <w:szCs w:val="19"/>
              </w:rPr>
              <w:t xml:space="preserve">Gestión de financiamiento externo (institucional o sponsor), una vez confirmada la medición del telar (tarea 5.9)</w:t>
            </w:r>
          </w:p>
        </w:tc>
      </w:tr>
      <w:tr>
        <w:tc>
          <w:tcPr>
            <w:tcW w:type="dxa" w:w="1400"/>
            <w:vAlign w:val="center"/>
          </w:tcPr>
          <w:p>
            <w:r>
              <w:rPr>
                <w:b w:val="false"/>
                <w:bCs w:val="false"/>
                <w:color w:val="000000"/>
                <w:sz w:val="19"/>
                <w:szCs w:val="19"/>
              </w:rPr>
              <w:t xml:space="preserve">1-2</w:t>
            </w:r>
          </w:p>
        </w:tc>
        <w:tc>
          <w:tcPr>
            <w:tcW w:type="dxa" w:w="3600"/>
            <w:vAlign w:val="center"/>
          </w:tcPr>
          <w:p>
            <w:r>
              <w:rPr>
                <w:b w:val="false"/>
                <w:bCs w:val="false"/>
                <w:color w:val="000000"/>
                <w:sz w:val="19"/>
                <w:szCs w:val="19"/>
              </w:rPr>
              <w:t xml:space="preserve">Gastos varios/operativos ($109.675)</w:t>
            </w:r>
          </w:p>
        </w:tc>
        <w:tc>
          <w:tcPr>
            <w:tcW w:type="dxa" w:w="4200"/>
            <w:vAlign w:val="center"/>
          </w:tcPr>
          <w:p>
            <w:r>
              <w:rPr>
                <w:b w:val="false"/>
                <w:bCs w:val="false"/>
                <w:color w:val="000000"/>
                <w:sz w:val="19"/>
                <w:szCs w:val="19"/>
              </w:rPr>
              <w:t xml:space="preserve">Aporte inicial en partes iguales, en paralelo a la Etapa 1</w:t>
            </w:r>
          </w:p>
        </w:tc>
      </w:tr>
    </w:tbl>
    <w:p>
      <w:pPr>
        <w:pStyle w:val="Heading2"/>
        <w:spacing w:after="120" w:before="240"/>
      </w:pPr>
      <w:r>
        <w:t xml:space="preserve">2.2 Recuperación de la inversión</w:t>
      </w:r>
    </w:p>
    <w:p>
      <w:pPr>
        <w:spacing w:after="150"/>
      </w:pPr>
      <w:r>
        <w:rPr>
          <w:b w:val="false"/>
          <w:bCs w:val="false"/>
          <w:i w:val="false"/>
          <w:iCs w:val="false"/>
        </w:rPr>
        <w:t xml:space="preserve">La recuperación del aporte inicial del equipo (Etapa 1 del plan) se referencia contra el presupuesto final con margen ($37.053.629), no contra el costo puro: la diferencia entre ambos ($7.410.726) es la ganancia calculada en la Sección 1, y es la que cubre -además de compensar el trabajo del equipo- el repago del aporte inicial si así se decide.</w:t>
      </w:r>
    </w:p>
    <w:p>
      <w:pPr>
        <w:spacing w:after="150"/>
      </w:pPr>
      <w:r>
        <w:rPr>
          <w:b w:val="false"/>
          <w:bCs w:val="false"/>
          <w:i w:val="false"/>
          <w:iCs w:val="false"/>
        </w:rPr>
        <w:t xml:space="preserve">El financiamiento externo gestionado para la Etapa 2 del plan (Bloques C y D, $48.486) queda condicionado a que la medición del telar (tarea 5.9 del Gantt) confirme el diseño y la cantidad de relés de selección necesarios (hasta entonces, ese monto es una estimación y no un compromiso de compra).</w:t>
      </w:r>
    </w:p>
    <w:p>
      <w:pPr>
        <w:pStyle w:val="Heading1"/>
        <w:spacing w:after="160" w:before="360"/>
      </w:pPr>
      <w:r>
        <w:t xml:space="preserve">3. Contrato</w:t>
      </w:r>
    </w:p>
    <w:p>
      <w:pPr>
        <w:spacing w:after="150"/>
      </w:pPr>
      <w:r>
        <w:rPr>
          <w:b w:val="false"/>
          <w:bCs w:val="false"/>
          <w:i w:val="false"/>
          <w:iCs w:val="false"/>
        </w:rPr>
        <w:t xml:space="preserve">Este apartado complementa -no reemplaza- la Sección 10 "Contrato" de la Documentación de Proyecto, que ya define Responsabilidades, Criterios de aceptación y Condiciones de modificación en detalle. Acá se resume lo esencial para que este documento sea autocontenido. No se incluyen datos personales de integrantes, clientes ni terceros.</w:t>
      </w:r>
    </w:p>
    <w:p>
      <w:pPr>
        <w:pStyle w:val="Heading2"/>
        <w:spacing w:after="120" w:before="240"/>
      </w:pPr>
      <w:r>
        <w:t xml:space="preserve">3.1 Objeto y alcance</w:t>
      </w:r>
    </w:p>
    <w:p>
      <w:pPr>
        <w:spacing w:after="150"/>
      </w:pPr>
      <w:r>
        <w:rPr>
          <w:b w:val="false"/>
          <w:bCs w:val="false"/>
          <w:i w:val="false"/>
          <w:iCs w:val="false"/>
        </w:rPr>
        <w:t xml:space="preserve">El equipo se compromete a entregar el sistema de automatización de telar (Nivel 1: Marcha, Pausa y Retroceder; Nivel 2: selección del dibujo con relés LCA110, según el avance confirmado en la medición), junto con su documentación técnica y manual de uso. Quedan explícitamente fuera de alcance cualquier intervención sobre la estructura mecánica del telar (engranajes, motores), tal como ya lo establece la Sección 10.2 de la Documentación de Proyecto.</w:t>
      </w:r>
    </w:p>
    <w:p>
      <w:pPr>
        <w:pStyle w:val="Heading2"/>
        <w:spacing w:after="120" w:before="240"/>
      </w:pPr>
      <w:r>
        <w:t xml:space="preserve">3.2 Plazos y entregables</w:t>
      </w:r>
    </w:p>
    <w:p>
      <w:pPr>
        <w:pStyle w:val="ListParagraph"/>
        <w:numPr>
          <w:ilvl w:val="0"/>
          <w:numId w:val="1"/>
        </w:numPr>
        <w:spacing w:after="90"/>
      </w:pPr>
      <w:r>
        <w:t xml:space="preserve">3ra presentación de avances: mediados de septiembre de 2026, con el Nivel 1 (Bloque A) terminado y funcionando (instalado y probado en el telar el 19/09/2026).</w:t>
      </w:r>
    </w:p>
    <w:p>
      <w:pPr>
        <w:pStyle w:val="ListParagraph"/>
        <w:numPr>
          <w:ilvl w:val="0"/>
          <w:numId w:val="1"/>
        </w:numPr>
        <w:spacing w:after="90"/>
      </w:pPr>
      <w:r>
        <w:t xml:space="preserve">Última presentación y cierre de proyecto: 14/11/2026 (Etapa 08), previo a la expo de 7mo año de secundaria.</w:t>
      </w:r>
    </w:p>
    <w:p>
      <w:pPr>
        <w:pStyle w:val="ListParagraph"/>
        <w:numPr>
          <w:ilvl w:val="0"/>
          <w:numId w:val="1"/>
        </w:numPr>
        <w:spacing w:after="200"/>
      </w:pPr>
      <w:r>
        <w:t xml:space="preserve">Entregables finales: sistema instalado, documentación técnica completa, manual de uso, y capacitación básica de uso al personal de la fábrica.</w:t>
      </w:r>
    </w:p>
    <w:p>
      <w:pPr>
        <w:pStyle w:val="Heading1"/>
        <w:spacing w:after="160" w:before="360"/>
      </w:pPr>
      <w:r>
        <w:t xml:space="preserve">4. Garantía</w:t>
      </w:r>
    </w:p>
    <w:p>
      <w:pPr>
        <w:spacing w:after="150"/>
      </w:pPr>
      <w:r>
        <w:rPr>
          <w:b w:val="false"/>
          <w:bCs w:val="false"/>
          <w:i w:val="false"/>
          <w:iCs w:val="false"/>
        </w:rPr>
        <w:t xml:space="preserve">Cláusula de garantía definida por el equipo, ya incorporada como Sección 10.7 de la Documentación de Proyecto.</w:t>
      </w:r>
    </w:p>
    <w:p>
      <w:pPr>
        <w:pStyle w:val="Heading2"/>
        <w:spacing w:after="120" w:before="240"/>
      </w:pPr>
      <w:r>
        <w:t xml:space="preserve">4.1 Vigencia y cobertura</w:t>
      </w:r>
    </w:p>
    <w:p>
      <w:pPr>
        <w:pStyle w:val="ListParagraph"/>
        <w:numPr>
          <w:ilvl w:val="0"/>
          <w:numId w:val="1"/>
        </w:numPr>
        <w:spacing w:after="90"/>
      </w:pPr>
      <w:r>
        <w:rPr>
          <w:b/>
          <w:bCs/>
        </w:rPr>
        <w:t xml:space="preserve">Vigencia: </w:t>
      </w:r>
      <w:r>
        <w:t xml:space="preserve">de 1 a 3 meses desde la fecha de entrega/aceptación del sistema (Sección 10.5 de la Documentación de Proyecto: prueba de 48 horas continuas). El plazo exacto dentro de ese rango se define junto con la cátedra al momento de la entrega final.</w:t>
      </w:r>
    </w:p>
    <w:p>
      <w:pPr>
        <w:pStyle w:val="ListParagraph"/>
        <w:numPr>
          <w:ilvl w:val="0"/>
          <w:numId w:val="1"/>
        </w:numPr>
        <w:spacing w:after="90"/>
      </w:pPr>
      <w:r>
        <w:rPr>
          <w:b/>
          <w:bCs/>
        </w:rPr>
        <w:t xml:space="preserve">Alcance: </w:t>
      </w:r>
      <w:r>
        <w:t xml:space="preserve">cubre el nodo ESP32 con su etapa de potencia y protecciones, el firmware cargado, y la integración con la base de datos y la interfaz web, tal como se entregan al aprobar el criterio de aceptación.</w:t>
      </w:r>
    </w:p>
    <w:p>
      <w:pPr>
        <w:pStyle w:val="ListParagraph"/>
        <w:numPr>
          <w:ilvl w:val="0"/>
          <w:numId w:val="1"/>
        </w:numPr>
        <w:spacing w:after="90"/>
      </w:pPr>
      <w:r>
        <w:rPr>
          <w:b/>
          <w:bCs/>
        </w:rPr>
        <w:t xml:space="preserve">Exclusiones: </w:t>
      </w:r>
      <w:r>
        <w:t xml:space="preserve">mal uso, modificaciones no autorizadas del sistema, intervención sobre la estructura mecánica del telar, y fallas de fábrica en componentes de terceros (cubiertas, en su caso, por la garantía del fabricante/vendedor original).</w:t>
      </w:r>
    </w:p>
    <w:p>
      <w:pPr>
        <w:pStyle w:val="ListParagraph"/>
        <w:numPr>
          <w:ilvl w:val="0"/>
          <w:numId w:val="1"/>
        </w:numPr>
        <w:spacing w:after="200"/>
      </w:pPr>
      <w:r>
        <w:rPr>
          <w:b/>
          <w:bCs/>
        </w:rPr>
        <w:t xml:space="preserve">Soporte durante la vigencia: </w:t>
      </w:r>
      <w:r>
        <w:t xml:space="preserve">corrección de errores de software/firmware detectados dentro del plazo de garantía, sin costo adicional. Coincide con la primera de las "Oportunidades de Negocio" ya descriptas en la Sección 9.4 de la Documentación de Proyecto (abono mensual de soporte técnico posterior al piloto).</w:t>
      </w:r>
    </w:p>
    <w:p>
      <w:pPr>
        <w:pStyle w:val="Heading1"/>
        <w:spacing w:after="160" w:before="360"/>
      </w:pPr>
      <w:r>
        <w:t xml:space="preserve">5. Dos formas de venta: Hardware y Software</w:t>
      </w:r>
    </w:p>
    <w:p>
      <w:pPr>
        <w:spacing w:after="150"/>
      </w:pPr>
      <w:r>
        <w:rPr>
          <w:b w:val="false"/>
          <w:bCs w:val="false"/>
          <w:i w:val="false"/>
          <w:iCs w:val="false"/>
        </w:rPr>
        <w:t xml:space="preserve">Además del paquete combinado ya calculado en la Sección 1, el equipo evalúa ofrecer el hardware y el software como productos separados. Esto amplía el mercado posible: un cliente puede comprar solo uno de los dos si ya cuenta con el otro (por ejemplo, una fábrica con su propio equipo de sistemas que arma el hardware siguiendo la documentación técnica y solo compra la licencia del software).</w:t>
      </w:r>
    </w:p>
    <w:p>
      <w:pPr>
        <w:pStyle w:val="Heading2"/>
        <w:spacing w:after="120" w:before="240"/>
      </w:pPr>
      <w:r>
        <w:t xml:space="preserve">5.1 Metodología de reparto</w:t>
      </w:r>
    </w:p>
    <w:p>
      <w:pPr>
        <w:spacing w:after="150"/>
      </w:pPr>
      <w:r>
        <w:rPr>
          <w:b w:val="false"/>
          <w:bCs w:val="false"/>
          <w:i w:val="false"/>
          <w:iCs w:val="false"/>
        </w:rPr>
        <w:t xml:space="preserve">Se clasificó cada rol del equipo según a qué producto aporta directamente: Electrónica (ELE) e Infraestructura de MCU (IM01, IM02) van a Hardware; Desarrollo (D01, D02), Diseño UX/UI (DUX), Infraestructura de Red (IR) y Administración de BD (BD) van a Software. Project Manager (PM) y Multimedios (MUL), que trabajan para ambos productos, se prorratean según esa misma proporción (43,7% Hardware / 56,3% Software, la del personal asignado directamente). Los componentes electrónicos ($122.139) se asignan 100% a Hardware por ser piezas físicas; los gastos varios se prorratean igual que el personal compartido.</w:t>
      </w:r>
    </w:p>
    <w:p>
      <w:pPr>
        <w:pStyle w:val="Heading2"/>
        <w:spacing w:after="120" w:before="240"/>
      </w:pPr>
      <w:r>
        <w:t xml:space="preserve">5.2 Costo y precio por producto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00"/>
        <w:gridCol w:w="1000"/>
      </w:tblGrid>
      <w:tr>
        <w:trPr>
          <w:tblHeader/>
        </w:trPr>
        <w:tc>
          <w:tcPr>
            <w:tcW w:type="dxa" w:w="3200"/>
            <w:shd w:fill="2E75B6" w:val="clear"/>
            <w:vAlign w:val="center"/>
          </w:tcPr>
          <w:p>
            <w:r>
              <w:rPr>
                <w:b/>
                <w:bCs/>
                <w:color w:val="FFFFFF"/>
                <w:sz w:val="19"/>
                <w:szCs w:val="19"/>
              </w:rPr>
              <w:t xml:space="preserve">Producto</w:t>
            </w:r>
          </w:p>
        </w:tc>
        <w:tc>
          <w:tcPr>
            <w:tcW w:type="dxa" w:w="2500"/>
            <w:shd w:fill="2E75B6" w:val="clear"/>
            <w:vAlign w:val="center"/>
          </w:tcPr>
          <w:p>
            <w:r>
              <w:rPr>
                <w:b/>
                <w:bCs/>
                <w:color w:val="FFFFFF"/>
                <w:sz w:val="19"/>
                <w:szCs w:val="19"/>
              </w:rPr>
              <w:t xml:space="preserve">Costo estimado</w:t>
            </w:r>
          </w:p>
        </w:tc>
        <w:tc>
          <w:tcPr>
            <w:tcW w:type="dxa" w:w="2500"/>
            <w:shd w:fill="2E75B6" w:val="clear"/>
            <w:vAlign w:val="center"/>
          </w:tcPr>
          <w:p>
            <w:r>
              <w:rPr>
                <w:b/>
                <w:bCs/>
                <w:color w:val="FFFFFF"/>
                <w:sz w:val="19"/>
                <w:szCs w:val="19"/>
              </w:rPr>
              <w:t xml:space="preserve">Precio de venta (25%)</w:t>
            </w:r>
          </w:p>
        </w:tc>
        <w:tc>
          <w:tcPr>
            <w:tcW w:type="dxa" w:w="1000"/>
            <w:shd w:fill="2E75B6" w:val="clear"/>
            <w:vAlign w:val="center"/>
          </w:tcPr>
          <w:p>
            <w:r>
              <w:rPr>
                <w:b/>
                <w:bCs/>
                <w:color w:val="FFFFFF"/>
                <w:sz w:val="19"/>
                <w:szCs w:val="19"/>
              </w:rPr>
              <w:t xml:space="preserve">% del total</w:t>
            </w:r>
          </w:p>
        </w:tc>
      </w:tr>
      <w:tr>
        <w:tc>
          <w:tcPr>
            <w:tcW w:type="dxa" w:w="3200"/>
            <w:vAlign w:val="center"/>
          </w:tcPr>
          <w:p>
            <w:r>
              <w:rPr>
                <w:b w:val="false"/>
                <w:bCs w:val="false"/>
                <w:color w:val="000000"/>
                <w:sz w:val="19"/>
                <w:szCs w:val="19"/>
              </w:rPr>
              <w:t xml:space="preserve">Hardware (nodo ESP32, relés, sensores, cableado, gabinete)</w:t>
            </w:r>
          </w:p>
        </w:tc>
        <w:tc>
          <w:tcPr>
            <w:tcW w:type="dxa" w:w="2500"/>
            <w:vAlign w:val="center"/>
          </w:tcPr>
          <w:p>
            <w:r>
              <w:rPr>
                <w:b w:val="false"/>
                <w:bCs w:val="false"/>
                <w:color w:val="000000"/>
                <w:sz w:val="19"/>
                <w:szCs w:val="19"/>
              </w:rPr>
              <w:t xml:space="preserve">$13.020.735</w:t>
            </w:r>
          </w:p>
        </w:tc>
        <w:tc>
          <w:tcPr>
            <w:tcW w:type="dxa" w:w="2500"/>
            <w:vAlign w:val="center"/>
          </w:tcPr>
          <w:p>
            <w:r>
              <w:rPr>
                <w:b w:val="false"/>
                <w:bCs w:val="false"/>
                <w:color w:val="000000"/>
                <w:sz w:val="19"/>
                <w:szCs w:val="19"/>
              </w:rPr>
              <w:t xml:space="preserve">$16.275.919</w:t>
            </w:r>
          </w:p>
        </w:tc>
        <w:tc>
          <w:tcPr>
            <w:tcW w:type="dxa" w:w="1000"/>
            <w:vAlign w:val="center"/>
          </w:tcPr>
          <w:p>
            <w:r>
              <w:rPr>
                <w:b w:val="false"/>
                <w:bCs w:val="false"/>
                <w:color w:val="000000"/>
                <w:sz w:val="19"/>
                <w:szCs w:val="19"/>
              </w:rPr>
              <w:t xml:space="preserve">43,9%</w:t>
            </w:r>
          </w:p>
        </w:tc>
      </w:tr>
      <w:tr>
        <w:tc>
          <w:tcPr>
            <w:tcW w:type="dxa" w:w="3200"/>
            <w:vAlign w:val="center"/>
          </w:tcPr>
          <w:p>
            <w:r>
              <w:rPr>
                <w:b w:val="false"/>
                <w:bCs w:val="false"/>
                <w:color w:val="000000"/>
                <w:sz w:val="19"/>
                <w:szCs w:val="19"/>
              </w:rPr>
              <w:t xml:space="preserve">Software (web, backend, base de datos, panel de control)</w:t>
            </w:r>
          </w:p>
        </w:tc>
        <w:tc>
          <w:tcPr>
            <w:tcW w:type="dxa" w:w="2500"/>
            <w:vAlign w:val="center"/>
          </w:tcPr>
          <w:p>
            <w:r>
              <w:rPr>
                <w:b w:val="false"/>
                <w:bCs w:val="false"/>
                <w:color w:val="000000"/>
                <w:sz w:val="19"/>
                <w:szCs w:val="19"/>
              </w:rPr>
              <w:t xml:space="preserve">$16.622.168</w:t>
            </w:r>
          </w:p>
        </w:tc>
        <w:tc>
          <w:tcPr>
            <w:tcW w:type="dxa" w:w="2500"/>
            <w:vAlign w:val="center"/>
          </w:tcPr>
          <w:p>
            <w:r>
              <w:rPr>
                <w:b w:val="false"/>
                <w:bCs w:val="false"/>
                <w:color w:val="000000"/>
                <w:sz w:val="19"/>
                <w:szCs w:val="19"/>
              </w:rPr>
              <w:t xml:space="preserve">$20.777.710</w:t>
            </w:r>
          </w:p>
        </w:tc>
        <w:tc>
          <w:tcPr>
            <w:tcW w:type="dxa" w:w="1000"/>
            <w:vAlign w:val="center"/>
          </w:tcPr>
          <w:p>
            <w:r>
              <w:rPr>
                <w:b w:val="false"/>
                <w:bCs w:val="false"/>
                <w:color w:val="000000"/>
                <w:sz w:val="19"/>
                <w:szCs w:val="19"/>
              </w:rPr>
              <w:t xml:space="preserve">56,1%</w:t>
            </w:r>
          </w:p>
        </w:tc>
      </w:tr>
      <w:tr>
        <w:tc>
          <w:tcPr>
            <w:tcW w:type="dxa" w:w="3200"/>
            <w:shd w:fill="D9E1F2" w:val="clear"/>
            <w:vAlign w:val="center"/>
          </w:tcPr>
          <w:p>
            <w:r>
              <w:rPr>
                <w:b/>
                <w:bCs/>
                <w:color w:val="000000"/>
                <w:sz w:val="19"/>
                <w:szCs w:val="19"/>
              </w:rPr>
              <w:t xml:space="preserve">TOTAL (= paquete combinado, Sección 1)</w:t>
            </w:r>
          </w:p>
        </w:tc>
        <w:tc>
          <w:tcPr>
            <w:tcW w:type="dxa" w:w="2500"/>
            <w:shd w:fill="D9E1F2" w:val="clear"/>
            <w:vAlign w:val="center"/>
          </w:tcPr>
          <w:p>
            <w:r>
              <w:rPr>
                <w:b/>
                <w:bCs/>
                <w:color w:val="000000"/>
                <w:sz w:val="19"/>
                <w:szCs w:val="19"/>
              </w:rPr>
              <w:t xml:space="preserve">$29.642.903</w:t>
            </w:r>
          </w:p>
        </w:tc>
        <w:tc>
          <w:tcPr>
            <w:tcW w:type="dxa" w:w="2500"/>
            <w:shd w:fill="D9E1F2" w:val="clear"/>
            <w:vAlign w:val="center"/>
          </w:tcPr>
          <w:p>
            <w:r>
              <w:rPr>
                <w:b/>
                <w:bCs/>
                <w:color w:val="000000"/>
                <w:sz w:val="19"/>
                <w:szCs w:val="19"/>
              </w:rPr>
              <w:t xml:space="preserve">$37.053.629</w:t>
            </w:r>
          </w:p>
        </w:tc>
        <w:tc>
          <w:tcPr>
            <w:tcW w:type="dxa" w:w="1000"/>
            <w:shd w:fill="D9E1F2" w:val="clear"/>
            <w:vAlign w:val="center"/>
          </w:tcPr>
          <w:p>
            <w:r>
              <w:rPr>
                <w:b/>
                <w:bCs/>
                <w:color w:val="000000"/>
                <w:sz w:val="19"/>
                <w:szCs w:val="19"/>
              </w:rPr>
              <w:t xml:space="preserve">100%</w:t>
            </w:r>
          </w:p>
        </w:tc>
      </w:tr>
    </w:tbl>
    <w:p>
      <w:pPr>
        <w:spacing w:after="180"/>
      </w:pPr>
      <w:r>
        <w:rPr>
          <w:i/>
          <w:iCs/>
          <w:color w:val="666666"/>
          <w:sz w:val="19"/>
          <w:szCs w:val="19"/>
        </w:rPr>
        <w:t xml:space="preserve">Los totales de esta tabla coinciden exactamente con el costo y el presupuesto final del paquete combinado de la Sección 1, es la misma estimación total, solo repartida en dos productos en vez de uno.</w:t>
      </w:r>
    </w:p>
    <w:p>
      <w:pPr>
        <w:pStyle w:val="Heading2"/>
        <w:spacing w:after="120" w:before="240"/>
      </w:pPr>
      <w:r>
        <w:t xml:space="preserve">5.3 Comparación de las dos vías</w:t>
      </w:r>
    </w:p>
    <w:p>
      <w:pPr>
        <w:pStyle w:val="ListParagraph"/>
        <w:numPr>
          <w:ilvl w:val="0"/>
          <w:numId w:val="1"/>
        </w:numPr>
        <w:spacing w:after="100"/>
      </w:pPr>
      <w:r>
        <w:rPr>
          <w:b/>
          <w:bCs/>
        </w:rPr>
        <w:t xml:space="preserve">Vender solo Hardware: </w:t>
      </w:r>
      <w:r>
        <w:t xml:space="preserve">el cliente recibe el nodo armado e instalado, pero necesita alojar o contratar el backend/panel de control por su cuenta (propio o de terceros). Menor ingreso por venta, pero se puede combinar con el abono mensual de soporte técnico ya previsto en la Sección 9.4 de la Documentación de Proyecto, generando ingreso recurrente en vez de un pago único.</w:t>
      </w:r>
    </w:p>
    <w:p>
      <w:pPr>
        <w:pStyle w:val="ListParagraph"/>
        <w:numPr>
          <w:ilvl w:val="0"/>
          <w:numId w:val="1"/>
        </w:numPr>
        <w:spacing w:after="100"/>
      </w:pPr>
      <w:r>
        <w:rPr>
          <w:b/>
          <w:bCs/>
        </w:rPr>
        <w:t xml:space="preserve">Vender solo Software: </w:t>
      </w:r>
      <w:r>
        <w:t xml:space="preserve">el cliente ya tiene o arma su propio hardware siguiendo la documentación técnica publicada, y paga por la licencia del sistema web/backend y el soporte. Menor barrera de entrada para el cliente (no depende de que el equipo fabrique e instale nada), pero el equipo pierde control sobre la calidad del hardware que se conecte al sistema (un armado defectuoso de terceros podría generar fallas que se perciban como error del software).</w:t>
      </w:r>
    </w:p>
    <w:p>
      <w:pPr>
        <w:pStyle w:val="ListParagraph"/>
        <w:numPr>
          <w:ilvl w:val="0"/>
          <w:numId w:val="1"/>
        </w:numPr>
        <w:spacing w:after="200"/>
      </w:pPr>
      <w:r>
        <w:rPr>
          <w:b/>
          <w:bCs/>
        </w:rPr>
        <w:t xml:space="preserve">Paquete combinado (Sección 1): </w:t>
      </w:r>
      <w:r>
        <w:t xml:space="preserve">sigue siendo la opción de referencia y la que da mayor control de calidad de punta a punta, al precio total ya calculado ($37.053.629).</w:t>
      </w:r>
    </w:p>
    <w:p>
      <w:pPr>
        <w:pStyle w:val="Heading1"/>
        <w:spacing w:after="160" w:before="360"/>
      </w:pPr>
      <w:r>
        <w:t xml:space="preserve">6. Conclusión</w:t>
      </w:r>
    </w:p>
    <w:p>
      <w:pPr>
        <w:spacing w:after="150"/>
      </w:pPr>
      <w:r>
        <w:rPr>
          <w:b w:val="false"/>
          <w:bCs w:val="false"/>
          <w:i w:val="false"/>
          <w:iCs w:val="false"/>
        </w:rPr>
        <w:t xml:space="preserve">El proyecto define una modalidad de inversión mixta (aporte propio inicial + financiamiento externo gestionado para los bloques más caros), con una ganancia proyectada de $7.410.726 sobre un presupuesto final de $37.053.629. La garantía del sistema entregado queda fijada entre 1 y 3 meses desde la aceptación, cubriendo soporte de software/firmware sin costo adicional durante ese período. Además del paquete combinado, el equipo tiene la opción de vender Hardware ($16.275.919) y Software ($20.777.710) por separado, ampliando el mercado posible sin cambiar el costo total del proyecto. La garantía ya está incorporada a la Documentación de Proyecto (Sección 10.7).</w:t>
      </w:r>
    </w:p>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Automatización de Telar Industrial, Control de Inserción de Trama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2026-08-13T01:21:27.678Z</dcterms:created>
  <dcterms:modified xsi:type="dcterms:W3CDTF">2026-08-13T01:21:27.687Z</dcterms:modified>
</cp:coreProperties>
</file>

<file path=docProps/custom.xml><?xml version="1.0" encoding="utf-8"?>
<Properties xmlns="http://schemas.openxmlformats.org/officeDocument/2006/custom-properties" xmlns:vt="http://schemas.openxmlformats.org/officeDocument/2006/docPropsVTypes"/>
</file>