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es una condición en el firmware y un campo en la base de datos.</w:t>
      </w:r>
    </w:p>
    <w:p>
      <w:pPr>
        <w:pStyle w:val="Heading1"/>
        <w:spacing w:after="140" w:before="280"/>
      </w:pPr>
      <w:r>
        <w:rPr>
          <w:rFonts w:ascii="Questrial" w:cs="Questrial" w:eastAsia="Questrial" w:hAnsi="Questrial"/>
          <w:b/>
          <w:bCs/>
          <w:color w:val="1E3A5F"/>
          <w:sz w:val="30"/>
          <w:szCs w:val="30"/>
        </w:rPr>
        <w:t xml:space="preserve">2. Lo que conviene hacer, por orden de prioridad</w:t>
      </w:r>
    </w:p>
    <w:p>
      <w:pPr>
        <w:pStyle w:val="Heading2"/>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conectar el sensor, que ya está montado sobre su eje (10/09/2026) y se probó en protoboard (10/10/2026), y validar el conteo.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spacing w:after="140" w:before="280"/>
      </w:pPr>
      <w:r>
        <w:rPr>
          <w:rFonts w:ascii="Questrial" w:cs="Questrial" w:eastAsia="Questrial" w:hAnsi="Questrial"/>
          <w:b/>
          <w:bCs/>
          <w:color w:val="1E3A5F"/>
          <w:sz w:val="30"/>
          <w:szCs w:val="30"/>
        </w:rPr>
        <w:t xml:space="preserve">4. Qué hacer primero, en concreto</w:t>
      </w:r>
    </w:p>
    <w:p>
      <w:pPr>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Instalar el sensor de pasada </w:t>
      </w:r>
      <w:r>
        <w:rPr>
          <w:rFonts w:ascii="IBM Plex Sans" w:cs="IBM Plex Sans" w:eastAsia="IBM Plex Sans" w:hAnsi="IBM Plex Sans"/>
          <w:sz w:val="22"/>
          <w:szCs w:val="22"/>
        </w:rPr>
        <w:t xml:space="preserve">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