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en el telar el 17/10/2026 (el sensor de pasada y el primer canal), y al 20/10/2026 quedaron soldadas las plaquetas.</w:t>
      </w:r>
    </w:p>
    <w:p w:rsidR="00000000" w:rsidDel="00000000" w:rsidP="00000000" w:rsidRDefault="00000000" w:rsidRPr="00000000" w14:paraId="0000004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1656"/>
        <w:gridCol w:w="2663"/>
        <w:gridCol w:w="3064"/>
        <w:gridCol w:w="1453"/>
        <w:tblGridChange w:id="0">
          <w:tblGrid>
            <w:gridCol w:w="2209"/>
            <w:gridCol w:w="2209"/>
            <w:gridCol w:w="2209"/>
            <w:gridCol w:w="2209"/>
          </w:tblGrid>
        </w:tblGridChange>
      </w:tblGrid>
      <w:tr>
        <w:trPr>
          <w:cantSplit/>
          <w:trHeight w:val="876.5234375" w:hRule="atLeast"/>
          <w:tblHeader w:val="0"/>
        </w:trPr>
        <w:tc>
          <w:tcPr>
            <w:tcW w:type="dxa" w:w="1656"/>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tcW w:type="dxa" w:w="2663"/>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tcW w:type="dxa" w:w="3064"/>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tcW w:type="dxa" w:w="1453"/>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tblHeader w:val="0"/>
        </w:trPr>
        <w:tc>
          <w:tcPr>
            <w:tcW w:type="dxa" w:w="1656"/>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tcW w:type="dxa" w:w="2663"/>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tcW w:type="dxa" w:w="3064"/>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tcW w:type="dxa" w:w="1453"/>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tcW w:type="dxa" w:w="2663"/>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tcW w:type="dxa" w:w="3064"/>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tcW w:type="dxa" w:w="1453"/>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tcW w:type="dxa" w:w="2663"/>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tcW w:type="dxa" w:w="3064"/>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tcW w:type="dxa" w:w="1453"/>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tcW w:type="dxa" w:w="2663"/>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tcW w:type="dxa" w:w="3064"/>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tcW w:type="dxa" w:w="1453"/>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tcW w:type="dxa" w:w="2663"/>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tcW w:type="dxa" w:w="1453"/>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tcW w:type="dxa" w:w="2663"/>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tcW w:type="dxa" w:w="1453"/>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tblHeader w:val="0"/>
        </w:trPr>
        <w:tc>
          <w:tcPr>
            <w:tcW w:type="dxa" w:w="2042"/>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tblHeader w:val="0"/>
        </w:trPr>
        <w:tc>
          <w:tcPr>
            <w:tcW w:type="dxa" w:w="2042"/>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tblHeader w:val="0"/>
        </w:trPr>
        <w:tc>
          <w:tcPr>
            <w:tcW w:type="dxa" w:w="2042"/>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tblHeader w:val="0"/>
        </w:trPr>
        <w:tc>
          <w:tcPr>
            <w:tcW w:type="dxa" w:w="2042"/>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tblHeader w:val="0"/>
        </w:trPr>
        <w:tc>
          <w:tcPr>
            <w:tcW w:type="dxa" w:w="2042"/>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tblHeader w:val="0"/>
        </w:trPr>
        <w:tc>
          <w:tcPr>
            <w:tcW w:type="dxa" w:w="2042"/>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tblHeader w:val="0"/>
        </w:trPr>
        <w:tc>
          <w:tcPr>
            <w:tcW w:type="dxa" w:w="2042"/>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tblHeader w:val="0"/>
        </w:trPr>
        <w:tc>
          <w:tcPr>
            <w:tcW w:type="dxa" w:w="2042"/>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tblHeader w:val="0"/>
        </w:trPr>
        <w:tc>
          <w:tcPr>
            <w:tcW w:type="dxa" w:w="2042"/>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tblHeader w:val="0"/>
        </w:trPr>
        <w:tc>
          <w:tcPr>
            <w:tcW w:type="dxa" w:w="2042"/>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109"/>
        <w:gridCol w:w="3119"/>
        <w:gridCol w:w="3610"/>
        <w:tblGridChange w:id="0">
          <w:tblGrid>
            <w:gridCol w:w="2946"/>
            <w:gridCol w:w="2946"/>
            <w:gridCol w:w="2946"/>
          </w:tblGrid>
        </w:tblGridChange>
      </w:tblGrid>
      <w:tr>
        <w:trPr>
          <w:cantSplit/>
          <w:tblHeader w:val="0"/>
        </w:trPr>
        <w:tc>
          <w:tcPr>
            <w:tcW w:type="dxa" w:w="2109"/>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tcW w:type="dxa" w:w="3119"/>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tcW w:type="dxa" w:w="3610"/>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tblHeader w:val="0"/>
        </w:trPr>
        <w:tc>
          <w:tcPr>
            <w:tcW w:type="dxa" w:w="2109"/>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tcW w:type="dxa" w:w="3119"/>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tcW w:type="dxa" w:w="3610"/>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tblHeader w:val="0"/>
        </w:trPr>
        <w:tc>
          <w:tcPr>
            <w:tcW w:type="dxa" w:w="2109"/>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tcW w:type="dxa" w:w="3119"/>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tcW w:type="dxa" w:w="3610"/>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tblHeader w:val="0"/>
        </w:trPr>
        <w:tc>
          <w:tcPr>
            <w:tcW w:type="dxa" w:w="2109"/>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tcW w:type="dxa" w:w="3119"/>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tcW w:type="dxa" w:w="3610"/>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w:t>
      </w:r>
      <w:r>
        <w:rPr>
          <w:rFonts w:ascii="IBM Plex Sans" w:cs="IBM Plex Sans" w:eastAsia="IBM Plex Sans" w:hAnsi="IBM Plex Sans"/>
          <w:sz w:val="22"/>
          <w:szCs w:val="22"/>
          <w:rtl w:val="0"/>
        </w:rPr>
        <w:t xml:space="preserve">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w:t>
      </w:r>
      <w:r>
        <w:rPr>
          <w:rFonts w:ascii="IBM Plex Sans" w:cs="IBM Plex Sans" w:eastAsia="IBM Plex Sans" w:hAnsi="IBM Plex Sans"/>
          <w:sz w:val="22"/>
          <w:szCs w:val="22"/>
          <w:rtl w:val="0"/>
        </w:rPr>
        <w:t xml:space="preserve">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w:t>
      </w:r>
      <w:r>
        <w:rPr>
          <w:rFonts w:ascii="IBM Plex Sans" w:cs="IBM Plex Sans" w:eastAsia="IBM Plex Sans" w:hAnsi="IBM Plex Sans"/>
          <w:sz w:val="22"/>
          <w:szCs w:val="22"/>
          <w:rtl w:val="0"/>
        </w:rPr>
        <w:t xml:space="preserve">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w:t>
      </w:r>
      <w:r>
        <w:rPr>
          <w:rFonts w:ascii="IBM Plex Sans" w:cs="IBM Plex Sans" w:eastAsia="IBM Plex Sans" w:hAnsi="IBM Plex Sans"/>
          <w:sz w:val="22"/>
          <w:szCs w:val="22"/>
          <w:rtl w:val="0"/>
        </w:rPr>
        <w:t xml:space="preserve">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 Además, quedaron terminadas las cinco plaquetas soldadas (la tarea 7,2 del Gantt, completa): siguen instalar el gabinete en la planta y conectar los otros tres canales. En la página, el acceso de los clientes pasó de un botón al pie de la pantalla de ingreso («Soy cliente: ver mi tejido») a una pestaña «Clientes» arriba de todo, al lado de «Personal», y el «+» para armar un intercalado en la grilla se hizo más grande y más visible.</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66" w:val="clear"/>
      </w:tcPr>
    </w:tblStylePr>
    <w:tblStylePr w:type="band1Horz">
      <w:tblPr/>
      <w:tcPr>
        <w:shd w:color="auto" w:fill="7FA8C9" w:themeFill="accent5" w:themeFillTint="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