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tag w:val="goog_rdk_0"/>
          <w:id w:val="-1690116994"/>
        </w:sdtPr>
        <w:sdtContent/>
      </w:sdt>
      <w:r>
        <w:rPr>
          <w:rFonts w:ascii="Questrial" w:cs="Questrial" w:eastAsia="Questrial" w:hAnsi="Questrial"/>
          <w:rtl w:val="0"/>
        </w:rPr>
        <w:t>1. Control de Cambios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val="clear"/>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val="clear"/>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val="clear"/>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val="clear"/>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Requerimientos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tag w:val="goog_rdk_2"/>
          <w:id w:val="-1289148406"/>
        </w:sdtPr>
        <w:sdtContent/>
      </w:sdt>
      <w:r>
        <w:rPr>
          <w:rFonts w:ascii="Questrial" w:cs="Questrial" w:eastAsia="Questrial" w:hAnsi="Questrial"/>
          <w:rtl w:val="0"/>
        </w:rPr>
        <w:t>2.4. Definición, acrónimos y abreviaturas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val="clear"/>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val="clear"/>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val="clear"/>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tag w:val="goog_rdk_3"/>
          <w:id w:val="-739768586"/>
        </w:sdtPr>
        <w:sdtContent/>
      </w:sdt>
      <w:r>
        <w:rPr>
          <w:rFonts w:ascii="Questrial" w:cs="Questrial" w:eastAsia="Questrial" w:hAnsi="Questrial"/>
          <w:rtl w:val="0"/>
        </w:rPr>
        <w:t>Referencias</w:t>
      </w:r>
      <w:r>
        <w:rPr>
          <w:rFonts w:ascii="Questrial" w:hAnsi="Questrial" w:cs="Questrial" w:eastAsia="Questrial"/>
        </w:rPr>
      </w:r>
      <w:r>
        <w:rPr>
          <w:rFonts w:ascii="Questrial" w:hAnsi="Questrial" w:cs="Questrial" w:eastAsia="Questrial"/>
          <w:rtl w:val="0"/>
        </w:rPr>
      </w:r>
    </w:p>
    <w:sdt>
      <w:sdtPr>
        <w:tag w:val="goog_rdk_5"/>
        <w:id w:val="-1896813583"/>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tag w:val="goog_rdk_4"/>
              <w:id w:val="-691364369"/>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tag w:val="goog_rdk_6"/>
          <w:id w:val="-1618442297"/>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50"/>
        <w:gridCol w:w="1765"/>
        <w:gridCol w:w="2769"/>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 tejiendo, pausado o 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tag w:val="goog_rdk_7"/>
          <w:id w:val="-793607245"/>
        </w:sdtPr>
        <w:sdtContent/>
      </w:sdt>
      <w:r>
        <w:rPr>
          <w:rFonts w:ascii="Questrial" w:cs="Questrial" w:eastAsia="Questrial" w:hAnsi="Questrial"/>
          <w:rtl w:val="0"/>
        </w:rPr>
        <w:t>Esquema de Base de Datos y Estructura JSONB</w:t>
      </w:r>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patrones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metadata               JSONB,            -- ej: {"tipo": "Tafetán"}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telares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 NOT NULL UNIQUE,   -- ej: "TELAR-01"</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'apagado'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('apagado','tejiendo','pausado','error')),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historial_produccion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fecha_inicio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keepNext/>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Una sola producción abierta por telar: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WHERE estado =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errores_log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titulo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mensaje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accesos_cliente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cliente_nombre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clave_hash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clave_cifrada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creada_por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usuarios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webauthn_id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recovery_hash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credenciales_biometricas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credential_id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public_key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counter        BIGINT NOT NULL DEFAULT 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9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"filas": 4,</w:t>
      </w:r>
    </w:p>
    <w:p w:rsidR="00000000" w:rsidDel="00000000" w:rsidP="00000000" w:rsidRDefault="00000000" w:rsidRPr="00000000" w14:paraId="0000009E">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"columnas": 4,</w:t>
      </w:r>
    </w:p>
    <w:p w:rsidR="00000000" w:rsidDel="00000000" w:rsidP="00000000" w:rsidRDefault="00000000" w:rsidRPr="00000000" w14:paraId="0000009F">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"matriz_pasadas": [</w:t>
      </w:r>
    </w:p>
    <w:p w:rsidR="00000000" w:rsidDel="00000000" w:rsidP="00000000" w:rsidRDefault="00000000" w:rsidRPr="00000000" w14:paraId="000000A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1">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2">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3">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4">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14:paraId="000000A5">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"matriz_ligamento": [</w:t>
      </w:r>
    </w:p>
    <w:p w:rsidR="00000000" w:rsidDel="00000000" w:rsidP="00000000" w:rsidRDefault="00000000" w:rsidRPr="00000000" w14:paraId="000000A6">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7">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8">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9">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A">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tag w:val="goog_rdk_8"/>
          <w:id w:val="-1525466884"/>
        </w:sdtPr>
        <w:sdtContent/>
      </w:sdt>
      <w:r>
        <w:rPr>
          <w:rFonts w:ascii="Questrial" w:cs="Questrial" w:eastAsia="Questrial" w:hAnsi="Questrial"/>
          <w:rtl w:val="0"/>
        </w:rPr>
        <w:t>Características de los Usuarios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val="clear"/>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val="clear"/>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00"/>
        <w:gridCol w:w="1800"/>
        <w:gridCol w:w="419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tag w:val="goog_rdk_9"/>
          <w:id w:val="361606423"/>
        </w:sdtPr>
        <w:sdtContent/>
      </w:sdt>
      <w:r>
        <w:rPr>
          <w:rFonts w:ascii="Questrial" w:cs="Questrial" w:eastAsia="Questrial" w:hAnsi="Questrial"/>
          <w:rtl w:val="0"/>
        </w:rPr>
        <w:t>Consideraciones de seguridad: Inmunidad crítica ambiental</w:t>
      </w:r>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tag w:val="goog_rdk_10"/>
          <w:id w:val="1427354661"/>
        </w:sdtPr>
        <w:sdtContent/>
      </w:sdt>
      <w:r>
        <w:rPr>
          <w:rFonts w:ascii="Questrial" w:cs="Questrial" w:eastAsia="Questrial" w:hAnsi="Questrial"/>
          <w:rtl w:val="0"/>
        </w:rPr>
        <w:t>4.1. Requerimientos funcionales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val="clear"/>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tag w:val="goog_rdk_12"/>
          <w:id w:val="1345811660"/>
        </w:sdtPr>
        <w:sdtContent/>
      </w:sdt>
      <w:r>
        <w:rPr>
          <w:rFonts w:ascii="Questrial" w:cs="Questrial" w:eastAsia="Questrial" w:hAnsi="Questrial"/>
          <w:rtl w:val="0"/>
        </w:rPr>
        <w:t>Requerimientos No Funcionales (RNF)</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val="clear"/>
          </w:tcPr>
          <w:p>
            <w:pPr>
              <w:jc w:val="left"/>
            </w:pPr>
            <w:r/>
            <w:r>
              <w:rPr>
                <w:rFonts w:ascii="IBM Plex Sans" w:hAnsi="IBM Plex Sans"/>
                <w:sz w:val="18"/>
              </w:rPr>
              <w:t>ID</w:t>
            </w:r>
          </w:p>
        </w:tc>
        <w:tc>
          <w:tcPr>
            <w:tcW w:type="dxa" w:w="1310"/>
            <w:shd w:fill="1E3A5F" w:val="clear"/>
          </w:tcPr>
          <w:p>
            <w:pPr>
              <w:jc w:val="left"/>
            </w:pPr>
            <w:r/>
            <w:r>
              <w:rPr>
                <w:rFonts w:ascii="IBM Plex Sans" w:hAnsi="IBM Plex Sans"/>
                <w:sz w:val="18"/>
              </w:rPr>
              <w:t>Interfaz</w:t>
            </w:r>
          </w:p>
        </w:tc>
        <w:tc>
          <w:tcPr>
            <w:tcW w:type="dxa" w:w="890"/>
            <w:shd w:fill="1E3A5F" w:val="clear"/>
          </w:tcPr>
          <w:p>
            <w:pPr>
              <w:jc w:val="left"/>
            </w:pPr>
            <w:r/>
            <w:r>
              <w:rPr>
                <w:rFonts w:ascii="IBM Plex Sans" w:hAnsi="IBM Plex Sans"/>
                <w:sz w:val="18"/>
              </w:rPr>
              <w:t>Tipo</w:t>
            </w:r>
          </w:p>
        </w:tc>
        <w:tc>
          <w:tcPr>
            <w:tcW w:type="dxa" w:w="2370"/>
            <w:shd w:fill="1E3A5F" w:val="clear"/>
          </w:tcPr>
          <w:p>
            <w:pPr>
              <w:jc w:val="left"/>
            </w:pPr>
            <w:r/>
            <w:r>
              <w:rPr>
                <w:rFonts w:ascii="IBM Plex Sans" w:hAnsi="IBM Plex Sans"/>
                <w:sz w:val="18"/>
              </w:rPr>
              <w:t>Descripción</w:t>
            </w:r>
          </w:p>
        </w:tc>
        <w:tc>
          <w:tcPr>
            <w:tcW w:type="dxa" w:w="1963"/>
            <w:shd w:fill="1E3A5F" w:val="clear"/>
          </w:tcPr>
          <w:p>
            <w:pPr>
              <w:jc w:val="left"/>
            </w:pPr>
            <w:r/>
            <w:r>
              <w:rPr>
                <w:rFonts w:ascii="IBM Plex Sans" w:hAnsi="IBM Plex Sans"/>
                <w:sz w:val="18"/>
              </w:rPr>
              <w:t>Restricción de entorno</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val="clear"/>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val="clear"/>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val="clear"/>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val="clear"/>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val="clear"/>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val="clear"/>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val="clear"/>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val="clear"/>
          </w:tcPr>
          <w:p w:rsidR="00000000" w:rsidDel="00000000" w:rsidP="00000000" w:rsidRDefault="00000000" w:rsidRPr="00000000" w14:paraId="0000013E">
            <w:pPr>
              <w:rPr>
                <w:rFonts w:ascii="IBM Plex Sans" w:cs="IBM Plex Sans" w:eastAsia="IBM Plex Sans" w:hAnsi="IBM Plex Sans"/>
              </w:rPr>
            </w:pPr>
            <w:sdt>
              <w:sdtPr>
                <w:tag w:val="goog_rdk_14"/>
                <w:id w:val="-1506028332"/>
              </w:sdtPr>
              <w:sdtContent/>
            </w:sdt>
            <w:r>
              <w:rPr>
                <w:rFonts w:ascii="IBM Plex Sans" w:cs="IBM Plex Sans" w:eastAsia="IBM Plex Sans" w:hAnsi="IBM Plex Sans"/>
                <w:b/>
                <w:color w:val="FFFFFF"/>
                <w:sz w:val="19"/>
                <w:szCs w:val="19"/>
                <w:rtl w:val="0"/>
              </w:rPr>
              <w:t>Bloque</w:t>
            </w:r>
          </w:p>
        </w:tc>
        <w:tc>
          <w:tcPr>
            <w:tcW w:type="dxa" w:w="2389"/>
            <w:shd w:fill="1E3A5F" w:val="clear"/>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val="clear"/>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val="clear"/>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val="clear"/>
          </w:tcPr>
          <w:p>
            <w:r/>
            <w:r>
              <w:rPr>
                <w:rFonts w:ascii="IBM Plex Sans" w:hAnsi="IBM Plex Sans"/>
                <w:b/>
                <w:color w:val="FFFFFF"/>
                <w:sz w:val="19"/>
              </w:rPr>
              <w:t>ID</w:t>
            </w:r>
          </w:p>
        </w:tc>
        <w:tc>
          <w:tcPr>
            <w:tcW w:type="dxa" w:w="1612"/>
            <w:shd w:fill="1E3A5F" w:val="clear"/>
          </w:tcPr>
          <w:p>
            <w:r/>
            <w:r>
              <w:rPr>
                <w:rFonts w:ascii="IBM Plex Sans" w:hAnsi="IBM Plex Sans"/>
                <w:b/>
                <w:color w:val="FFFFFF"/>
                <w:sz w:val="19"/>
              </w:rPr>
              <w:t>Título de la tarea</w:t>
            </w:r>
          </w:p>
        </w:tc>
        <w:tc>
          <w:tcPr>
            <w:tcW w:type="dxa" w:w="1310"/>
            <w:shd w:fill="1E3A5F" w:val="clear"/>
          </w:tcPr>
          <w:p>
            <w:r/>
            <w:r>
              <w:rPr>
                <w:rFonts w:ascii="IBM Plex Sans" w:hAnsi="IBM Plex Sans"/>
                <w:b/>
                <w:color w:val="FFFFFF"/>
                <w:sz w:val="19"/>
              </w:rPr>
              <w:t>Área</w:t>
            </w:r>
          </w:p>
        </w:tc>
        <w:tc>
          <w:tcPr>
            <w:tcW w:type="dxa" w:w="3928"/>
            <w:shd w:fill="1E3A5F" w:val="clear"/>
          </w:tcPr>
          <w:p>
            <w:r/>
            <w:r>
              <w:rPr>
                <w:rFonts w:ascii="IBM Plex Sans" w:hAnsi="IBM Plex Sans"/>
                <w:b/>
                <w:color w:val="FFFFFF"/>
                <w:sz w:val="19"/>
              </w:rPr>
              <w:t>Criterios de aceptación</w:t>
            </w:r>
          </w:p>
        </w:tc>
        <w:tc>
          <w:tcPr>
            <w:tcW w:type="dxa" w:w="1205"/>
            <w:shd w:fill="1E3A5F" w:val="clear"/>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tag w:val="goog_rdk_18"/>
          <w:id w:val="1758680820"/>
        </w:sdtPr>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883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50"/>
        <w:gridCol w:w="2100"/>
        <w:gridCol w:w="2050"/>
        <w:gridCol w:w="2938"/>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526"/>
        <w:gridCol w:w="1500"/>
        <w:gridCol w:w="1950"/>
        <w:gridCol w:w="1300"/>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tag w:val="goog_rdk_19"/>
                <w:id w:val="-95384766"/>
              </w:sdtPr>
              <w:sdtContent/>
            </w:sdt>
            <w:r>
              <w:rPr>
                <w:rFonts w:ascii="IBM Plex Sans" w:cs="IBM Plex Sans" w:eastAsia="IBM Plex Sans" w:hAnsi="IBM Plex Sans"/>
                <w:sz w:val="20"/>
                <w:szCs w:val="20"/>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 xml:space="preserve">SUBTOTAL </w:t>
            </w:r>
          </w:p>
        </w:tc>
      </w:tr>
      <w:tr>
        <w:trPr>
          <w:cantSplit/>
          <w:tblHeader w:val="0"/>
        </w:trPr>
        <w:tc>
          <w:tcPr>
            <w:vAlign w:val="center"/>
          </w:tcPr>
          <w:p>
            <w:pPr>
              <w:jc w:val="left"/>
            </w:pPr>
            <w:r/>
            <w:r>
              <w:rPr>
                <w:rFonts w:ascii="IBM Plex Sans" w:hAnsi="IBM Plex Sans"/>
                <w:sz w:val="17"/>
                <w:szCs w:val="17"/>
              </w:rPr>
              <w:t>Bloque A, Nivel 1 (control y sensado)</w:t>
            </w:r>
          </w:p>
        </w:tc>
        <w:tc>
          <w:tcPr>
            <w:vAlign w:val="center"/>
          </w:tcPr>
          <w:p>
            <w:pPr>
              <w:jc w:val="left"/>
            </w:pPr>
            <w:r/>
            <w:r>
              <w:rPr>
                <w:rFonts w:ascii="IBM Plex Sans" w:hAnsi="IBM Plex Sans"/>
                <w:sz w:val="17"/>
                <w:szCs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sz w:val="17"/>
                <w:szCs w:val="17"/>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sz w:val="17"/>
                <w:szCs w:val="17"/>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sz w:val="17"/>
                <w:szCs w:val="17"/>
                <w:rtl w:val="0"/>
              </w:rPr>
              <w:t>Bloque C, Sensor de pasada</w:t>
            </w:r>
          </w:p>
        </w:tc>
        <w:tc>
          <w:tcPr>
            <w:vAlign w:val="center"/>
          </w:tcPr>
          <w:p>
            <w:pPr>
              <w:jc w:val="left"/>
            </w:pPr>
            <w:r/>
            <w:r>
              <w:rPr>
                <w:rFonts w:ascii="IBM Plex Sans" w:hAnsi="IBM Plex Sans"/>
                <w:sz w:val="17"/>
                <w:szCs w:val="17"/>
              </w:rPr>
              <w:t>Sensor inductivo LJ12A3-4-Z/BX (ya adquirido), optoacoplador y resistencias de adaptación de nivel, más el soporte de montaje (ya construido y montado el 10/09/2026).</w:t>
            </w:r>
          </w:p>
        </w:tc>
        <w:tc>
          <w:tcPr>
            <w:vAlign w:val="center"/>
          </w:tcPr>
          <w:p>
            <w:pPr>
              <w:jc w:val="left"/>
            </w:pPr>
            <w:r/>
            <w:r>
              <w:rPr>
                <w:rFonts w:ascii="IBM Plex Sans" w:hAnsi="IBM Plex Sans"/>
                <w:sz w:val="17"/>
                <w:szCs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$13.950</w:t>
            </w:r>
          </w:p>
        </w:tc>
      </w:tr>
      <w:tr>
        <w:trPr>
          <w:cantSplit/>
          <w:tblHeader w:val="0"/>
        </w:trPr>
        <w:tc>
          <w:tcPr>
            <w:vAlign w:val="center"/>
          </w:tcPr>
          <w:p>
            <w:r/>
            <w:r>
              <w:rPr>
                <w:rFonts w:ascii="IBM Plex Sans" w:hAnsi="IBM Plex Sans"/>
                <w:sz w:val="17"/>
                <w:szCs w:val="17"/>
              </w:rPr>
              <w:t>Bloque D, Nivel 2 (selección del dibujo)</w:t>
            </w:r>
          </w:p>
        </w:tc>
        <w:tc>
          <w:tcPr>
            <w:vAlign w:val="center"/>
          </w:tcPr>
          <w:p>
            <w:pPr>
              <w:jc w:val="left"/>
            </w:pPr>
            <w:r>
              <w:rPr>
                <w:sz w:val="17"/>
                <w:szCs w:val="17"/>
              </w:rP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sz w:val="17"/>
                <w:szCs w:val="17"/>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$34.536 (faltan los precios de nueve ítems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pPr>
              <w:jc w:val="left"/>
            </w:pPr>
            <w:r/>
            <w:r>
              <w:rPr>
                <w:rFonts w:ascii="IBM Plex Sans" w:hAnsi="IBM Plex Sans"/>
                <w:sz w:val="17"/>
                <w:szCs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doNotExpandShiftReturn/>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