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Su plaqueta ya está soldada: falta conectarlo a ella al instalar el gabinete en la planta y validar el conteo durante una jornada.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La plaqueta ya está soldada; faltan instalarla en la planta y conectar los otros tres canales.</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al 20/10/2026 ya están soldadas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conectarlo a su plaqueta, ya soldada, al instalar el gabinete en la planta, y validar el conteo contra el contador mecánico del telar durante una jornada.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70 secciones numeradas,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Conexiones_​de_​las_​plaquetas.docx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resumen de las conexiones de las cinco plaquetas,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Recorrido_​del_​Codigo_​y_​Herramientas.docx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recorrido del código (web, servidor, base de datos y firmware) y las herramientas usadas, en cinco páginas.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sitio_​documentacion.zip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sitio_​manuales.zip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Modelado3D_​CIT.zip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modelo 3D del gabinete, con sus cinco plaquetas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Hecho al 20/10/2026, las plaquetas soldadas: </w:t>
      </w:r>
      <w:r>
        <w:rPr>
          <w:rFonts w:ascii="IBM Plex Sans" w:cs="IBM Plex Sans" w:eastAsia="IBM Plex Sans" w:hAnsi="IBM Plex Sans"/>
          <w:sz w:val="21"/>
          <w:szCs w:val="21"/>
        </w:rPr>
        <w:t xml:space="preserve">las cuatro de placa perforada y la del sensado, impresa, para la instalación definitiva. Sigue instalar el gabinete en la planta y cablearlo hasta la botonera.</w:t>
      </w:r>
    </w:p>
    <w:p>
      <w:pPr>
        <w:pStyle w:val="ListParagraph"/>
        <w:numPr>
          <w:ilvl w:val="0"/>
          <w:numId w:val="2"/>
        </w:numPr>
        <w:spacing w:after="80"/>
      </w:pPr>
      <w:r>
        <w:rPr>
          <w:rFonts w:ascii="IBM Plex Sans" w:cs="IBM Plex Sans" w:eastAsia="IBM Plex Sans" w:hAnsi="IBM Plex Sans"/>
          <w:b/>
          <w:bCs/>
          <w:sz w:val="21"/>
          <w:szCs w:val="21"/>
        </w:rPr>
        <w:t xml:space="preserve">Bloque C: </w:t>
      </w:r>
      <w:r>
        <w:rPr>
          <w:rFonts w:ascii="IBM Plex Sans" w:cs="IBM Plex Sans" w:eastAsia="IBM Plex Sans" w:hAnsi="IBM Plex Sans"/>
          <w:sz w:val="21"/>
          <w:szCs w:val="21"/>
        </w:rPr>
        <w:t xml:space="preserve">conectar el sensor, ya calibrado, a su plaqueta en el gabinete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instalar su plaqueta, ya soldada, en el gabinete y conectar los otros tres canales (el primero ya se probó en la máquina).</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