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púrpura/crema, tipografía Century Gothic/Questrial);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144.000 por turno de 8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(Dashboard Central): </w:t>
      </w:r>
      <w:r>
        <w:rPr>
          <w:rFonts w:ascii="IBM Plex Sans" w:cs="IBM Plex Sans" w:eastAsia="IBM Plex Sans" w:hAnsi="IBM Plex Sans"/>
          <w:color w:val="000000"/>
          <w:rtl w:val="0"/>
        </w:rPr>
        <w:t xml:space="preserve">Contiene la consola de ejecución principal con los botones de "Play" (Marcha), "Pausa" y "Retroceder" para interactuar con el ESP32. Ofrece </w:t>
      </w:r>
      <w:r>
        <w:rPr>
          <w:rFonts w:ascii="IBM Plex Sans" w:cs="IBM Plex Sans" w:eastAsia="IBM Plex Sans" w:hAnsi="IBM Plex Sans"/>
          <w:i w:val="1"/>
          <w:iCs w:val="1"/>
          <w:color w:val="000000"/>
          <w:rtl w:val="0"/>
        </w:rPr>
        <w:t>feedback</w:t>
      </w:r>
      <w:r>
        <w:rPr>
          <w:rFonts w:ascii="IBM Plex Sans" w:cs="IBM Plex Sans" w:eastAsia="IBM Plex Sans" w:hAnsi="IBM Plex Sans"/>
          <w:color w:val="000000"/>
          <w:rtl w:val="0"/>
        </w:rPr>
        <w:t xml:space="preserve"> visual en vivo resaltando en la pantalla la fila exacta de la matriz que el telar está procesando mecánicamente en cada milisegundo. Muestra indicadores clave (KPIs) en tiempo real como velocidad (RPM), contador de pasadas efectivas y el porcentaje de avance del dibujo en curso.</w:t>
      </w:r>
      <w:r>
        <w:rPr>
          <w:rFonts w:ascii="IBM Plex Sans" w:hAnsi="IBM Plex Sans" w:cs="IBM Plex Sans" w:eastAsia="IBM Plex Sans"/>
          <w:rtl w:val="0"/>
        </w:rPr>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Matrices: </w:t>
      </w:r>
      <w:r>
        <w:rPr>
          <w:rFonts w:ascii="IBM Plex Sans" w:cs="IBM Plex Sans" w:eastAsia="IBM Plex Sans" w:hAnsi="IBM Plex Sans"/>
          <w:color w:val="000000"/>
          <w:rtl w:val="0"/>
        </w:rPr>
        <w:t xml:space="preserve">Lienzo interactivo cuadriculado (HTML/CSS/JS) donde el usuario hace clic para alternar el estado de las celdas (1 = levantado, 0 = abajo). Incluye </w:t>
      </w:r>
      <w:r>
        <w:rPr>
          <w:rFonts w:ascii="IBM Plex Sans" w:cs="IBM Plex Sans" w:eastAsia="IBM Plex Sans" w:hAnsi="IBM Plex Sans"/>
          <w:i w:val="1"/>
          <w:iCs w:val="1"/>
          <w:color w:val="000000"/>
          <w:rtl w:val="0"/>
        </w:rPr>
        <w:t>inputs</w:t>
      </w:r>
      <w:r>
        <w:rPr>
          <w:rFonts w:ascii="IBM Plex Sans" w:cs="IBM Plex Sans" w:eastAsia="IBM Plex Sans" w:hAnsi="IBM Plex Sans"/>
          <w:color w:val="000000"/>
          <w:rtl w:val="0"/>
        </w:rPr>
        <w:t xml:space="preserve"> numéricos para definir el tamaño de la matriz (hilos de urdimbre y pasadas de trama) junto con herramientas de agilidad rápida como "Limpiar grilla", "Invertir colores" y "Completar fila". Ofrece previsualización gráfica del ligamento (Tafetán, Sarga, Raso) antes de su exportación.</w:t>
      </w:r>
      <w:r>
        <w:rPr>
          <w:rFonts w:ascii="IBM Plex Sans" w:hAnsi="IBM Plex Sans" w:cs="IBM Plex Sans" w:eastAsia="IBM Plex Sans"/>
          <w:rtl w:val="0"/>
        </w:rPr>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Biblioteca de Matrices (Gestión CRUD):</w:t>
      </w:r>
      <w:r>
        <w:rPr>
          <w:rFonts w:ascii="IBM Plex Sans" w:cs="IBM Plex Sans" w:eastAsia="IBM Plex Sans" w:hAnsi="IBM Plex Sans"/>
          <w:color w:val="000000"/>
          <w:rtl w:val="0"/>
        </w:rPr>
        <w:t xml:space="preserve"> Explorador de matrices en un listado lateral para visualizar, seleccionar y cargar rápidamente diseños históricos. Permite realizar operaciones completas de creación (guardar nuevo patrón sin recargar la página), lectura (Read), actualización (sobrescribir cambios en un patrón viejo) y eliminación segura para mantener limpia la biblioteca en PostgreSQL.</w:t>
      </w:r>
      <w:r>
        <w:rPr>
          <w:rFonts w:ascii="IBM Plex Sans" w:hAnsi="IBM Plex Sans" w:cs="IBM Plex Sans" w:eastAsia="IBM Plex Sans"/>
          <w:rtl w:val="0"/>
        </w:rPr>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(#16304F a #3D6B96) en la cabecera. Texto principal en gris azulado oscuro (#1F2937), texto secundario en gris medio (#6B7684) y texto invertido en blanco (#FFFFFF) sobre botones o en modo oscuro. La relación de contraste entre el púrpura primario y el fondo crema es de 12,11:1,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Century Gothic como fuente principal, con Questrial (Google Fonts) como respaldo de código abierto: al ser Century Gothic una fuente comercial que no puede empaquetarse ni cargarse desde un CDN gratuito, se usa cuando el sistema operativo del usuario ya la tiene instalada y, si no, cae a Questrial (la alternativa libre geométricamente más parecida). El diseño responsivo define breakpoints en 320px (mobile, una columna, elementos táctiles mínimos de 44x44px), 768px (tablet, grilla de dos columnas en la biblioteca) y 1024px (escritorio, barra lateral o menú superior).</w:t>
      </w:r>
      <w:r>
        <w:rPr>
          <w:rFonts w:ascii="IBM Plex Sans" w:hAnsi="IBM Plex Sans" w:cs="IBM Plex Sans" w:eastAsia="IBM Plex Sans"/>
          <w:rtl w:val="0"/>
        </w:rPr>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/api/telares/1 cada 2,5 s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/api/telares/1</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la botonera recibe 24V AC (no DC). En el C 401, donde se instala el sistema, hay que volver a medirla: se espera menos de 24 V, y define el valor de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representa una pasada y cada columna un marco.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100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pasada y cada columna un elemento del telar.</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Dashboard de Inicio (Supervisión en Tiempo Real):</w:t>
      </w:r>
      <w:r>
        <w:rPr>
          <w:rFonts w:ascii="IBM Plex Sans" w:hAnsi="IBM Plex Sans" w:cs="IBM Plex Sans" w:eastAsia="IBM Plex Sans"/>
          <w:rtl w:val="0"/>
        </w:rPr>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Visualización del estado operativo del telar (Tejiendo, Pausado, Detenido), reflejando también el uso manual de la botonera detectado por el nodo de control.</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Monitoreo de métricas en vivo: contador de pasadas completadas, velocidad actual (pasadas/minuto), tiempo estimado de finalización y porcentaje de avance del patrón.</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Controles de mando directo: botones de Marcha, Pausa y Retroceder, correspondientes a los tres relés del Bloque A. No se implementa un botón de Parada de Emergencia por software: esa función la conserva la botonera física del telar, que sigue operable en todo momento.</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Matricial de Ligamentos:</w:t>
      </w:r>
      <w:r>
        <w:rPr>
          <w:rFonts w:ascii="IBM Plex Sans" w:hAnsi="IBM Plex Sans" w:cs="IBM Plex Sans" w:eastAsia="IBM Plex Sans"/>
          <w:rtl w:val="0"/>
        </w:rPr>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binaria para la definición del patrón de ligamento (donde “1” representa alzada/lizo arriba y “0” representa bajada/lizo abajo).</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Herramientas de edición rápida: inversión de matriz, repetición de filas/columnas, espejo horizontal/vertical y precarga de estructuras textiles estándar (Tafetán, Sarga, Satén).</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en tiempo real del tamaño de la matriz frente a los límites físicos de los lizos del telar.</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CRUD de Ligamentos (Gestión de Archivos):</w:t>
      </w:r>
      <w:r>
        <w:rPr>
          <w:rFonts w:ascii="IBM Plex Sans" w:hAnsi="IBM Plex Sans" w:cs="IBM Plex Sans" w:eastAsia="IBM Plex Sans"/>
          <w:rtl w:val="0"/>
        </w:rPr>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Interfaz de gestión CRUD (Crear, Leer, Actualizar, Eliminar) de diseños de tejido.</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dinámica con filtrado por nombre, fecha de creación, densidad de trama y etiquetas personalizadas.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Función de importación/exportación de archivos en formato JSON para intercambio entre controladores ESP32 sin necesidad de conexión a Internet.</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estado del telar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r>
      <w:commentRangeEnd w:id="10"/>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filtros.</w:t>
      </w:r>
    </w:p>
    <w:p>
      <w:pPr>
        <w:jc w:val="center"/>
      </w:pPr>
      <w:r>
        <w:rPr>
          <w:rFonts w:ascii="IBM Plex Sans" w:hAnsi="IBM Plex Sans" w:cs="IBM Plex Sans" w:eastAsia="IBM Plex Sans"/>
          <w:i/>
          <w:color w:val="606060"/>
          <w:sz w:val="18"/>
        </w:rPr>
        <w:t>Figura 8. Editor de dibujo: cada fila es una pasada del telar y cada columna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/api/telares/1 cada 2,5 s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r>
              <w:rPr>
                <w:rFonts w:ascii="IBM Plex Sans" w:hAnsi="IBM Plex Sans"/>
                <w:sz w:val="17"/>
              </w:rPr>
              <w:t>Su punto de montaje se determina con el telar en marcha; hasta entonces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en el C 401 se verifican antes de instalar.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Uso de filtros LC pasivos en las líneas de alimentación del ESP32 y una referencia de masa única para todo el nodo, evitando bucles de masa (ground loops).</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Puente rectificador DB157 /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Polarización: 3 para los relés (a 3,3 V)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Capacitor cerámico 100 nF</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Desacople junto al ESP32 y al módulo de relés: filtra el ruido de conmutación.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 + resistencias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telar cuenta con 4 bobinas de selección en funcionamiento, confirmado con el dueño el 06/09/26. El Nivel 2 prevé intervenir su señal de mando en lugar de reemplazarlas.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unas 144.000 conmutaciones por turno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definir</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(no aplica: las bobinas se alimentan desde 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propio telar alimenta las bobinas. El sistema solo conmuta la señal del lector óptico. tras medir las bobinas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es una pasada y cada columna un elemento seleccionable. Admite de 1 a 100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junto con las instrucciones de tejido, exportable desde la propia biblioteca.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