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b w:val="1"/>
          <w:bCs w:val="1"/>
          <w:sz w:val="28"/>
          <w:szCs w:val="28"/>
        </w:rPr>
      </w:pPr>
      <w:r w:rsidDel="00000000" w:rsidR="00000000" w:rsidRPr="00000000">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W w:w="1940" w:type="dxa"/>
          </w:tcPr>
          <w:p w:rsidR="00000000" w:rsidDel="00000000" w:rsidP="00000000" w:rsidRDefault="00000000" w:rsidRPr="00000000" w14:paraId="0000000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w:t>
            </w:r>
          </w:p>
        </w:tc>
        <w:tc>
          <w:tcPr>
            <w:tcBorders>
              <w:top w:color="1E3A5F" w:space="0" w:sz="4" w:val="single"/>
              <w:left w:color="000000" w:space="0" w:sz="0" w:val="nil"/>
              <w:bottom w:color="1E3A5F" w:space="0" w:sz="4" w:val="single"/>
              <w:right w:color="000000" w:space="0" w:sz="0" w:val="nil"/>
            </w:tcBorders>
            <w:shd w:fill="1E3A5F" w:val="clear"/>
            <w:tcW w:w="3119" w:type="dxa"/>
          </w:tcPr>
          <w:p w:rsidR="00000000" w:rsidDel="00000000" w:rsidP="00000000" w:rsidRDefault="00000000" w:rsidRPr="00000000" w14:paraId="00000004">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 quién (Cliente / Usuario)</w:t>
            </w:r>
          </w:p>
        </w:tc>
        <w:tc>
          <w:tcPr>
            <w:tcBorders>
              <w:top w:color="1E3A5F" w:space="0" w:sz="4" w:val="single"/>
              <w:left w:color="000000" w:space="0" w:sz="0" w:val="nil"/>
              <w:bottom w:color="1E3A5F" w:space="0" w:sz="4" w:val="single"/>
              <w:right w:color="000000" w:space="0" w:sz="0" w:val="nil"/>
            </w:tcBorders>
            <w:shd w:fill="1E3A5F" w:val="clear"/>
            <w:tcW w:w="3589" w:type="dxa"/>
          </w:tcPr>
          <w:p w:rsidR="00000000" w:rsidDel="00000000" w:rsidP="00000000" w:rsidRDefault="00000000" w:rsidRPr="00000000" w14:paraId="0000000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Entrevista</w:t>
            </w:r>
          </w:p>
        </w:tc>
        <w:tc>
          <w:tcPr>
            <w:tcBorders>
              <w:top w:color="1E3A5F" w:space="0" w:sz="4" w:val="single"/>
              <w:left w:color="000000" w:space="0" w:sz="0" w:val="nil"/>
              <w:bottom w:color="1E3A5F" w:space="0" w:sz="4" w:val="single"/>
              <w:right w:color="1E3A5F" w:space="0" w:sz="4" w:val="single"/>
            </w:tcBorders>
            <w:shd w:fill="1E3A5F" w:val="clear"/>
            <w:tcW w:w="1701" w:type="dxa"/>
          </w:tcPr>
          <w:p w:rsidR="00000000" w:rsidDel="00000000" w:rsidP="00000000" w:rsidRDefault="00000000" w:rsidRPr="00000000" w14:paraId="00000006">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Modalidad</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0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0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inicial del Diseño UX/UI:</w:t>
            </w:r>
            <w:r w:rsidDel="00000000" w:rsidR="00000000" w:rsidRPr="00000000">
              <w:rPr>
                <w:rFonts w:ascii="IBM Plex Sans" w:cs="IBM Plex Sans" w:eastAsia="IBM Plex Sans" w:hAnsi="IBM Plex Sans"/>
                <w:rtl w:val="0"/>
              </w:rPr>
              <w:t xml:space="preserve"> Extraer conceptos, ideas y necesidades de planta para definir cómo debería ser el prototipo del panel de control web.</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0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tcW w:w="1940" w:type="dxa"/>
          </w:tcPr>
          <w:p w:rsidR="00000000" w:rsidDel="00000000" w:rsidP="00000000" w:rsidRDefault="00000000" w:rsidRPr="00000000" w14:paraId="0000000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w:t>
            </w:r>
          </w:p>
        </w:tc>
        <w:tc>
          <w:tcPr>
            <w:tcBorders>
              <w:top w:color="1E3A5F" w:space="0" w:sz="4" w:val="single"/>
              <w:left w:color="1E3A5F" w:space="0" w:sz="4" w:val="single"/>
              <w:bottom w:color="1E3A5F" w:space="0" w:sz="4" w:val="single"/>
              <w:right w:color="1E3A5F" w:space="0" w:sz="4" w:val="single"/>
            </w:tcBorders>
            <w:tcW w:w="3119" w:type="dxa"/>
          </w:tcPr>
          <w:p w:rsidR="00000000" w:rsidDel="00000000" w:rsidP="00000000" w:rsidRDefault="00000000" w:rsidRPr="00000000" w14:paraId="0000000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tcW w:w="3589" w:type="dxa"/>
          </w:tcPr>
          <w:p w:rsidR="00000000" w:rsidDel="00000000" w:rsidP="00000000" w:rsidRDefault="00000000" w:rsidRPr="00000000" w14:paraId="0000000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Validación de Mockup:</w:t>
            </w:r>
            <w:r w:rsidDel="00000000" w:rsidR="00000000" w:rsidRPr="00000000">
              <w:rPr>
                <w:rFonts w:ascii="IBM Plex Sans" w:cs="IBM Plex Sans" w:eastAsia="IBM Plex Sans" w:hAnsi="IBM Plex Sans"/>
                <w:rtl w:val="0"/>
              </w:rPr>
              <w:t xml:space="preserve"> Presentación del prototipo de alta fidelidad para la matriz de patrones y obtención de feedback directo del cliente.</w:t>
            </w:r>
          </w:p>
        </w:tc>
        <w:tc>
          <w:tcPr>
            <w:tcBorders>
              <w:top w:color="1E3A5F" w:space="0" w:sz="4" w:val="single"/>
              <w:left w:color="1E3A5F" w:space="0" w:sz="4" w:val="single"/>
              <w:bottom w:color="1E3A5F" w:space="0" w:sz="4" w:val="single"/>
              <w:right w:color="1E3A5F" w:space="0" w:sz="4" w:val="single"/>
            </w:tcBorders>
            <w:tcW w:w="1701" w:type="dxa"/>
          </w:tcPr>
          <w:p w:rsidR="00000000" w:rsidDel="00000000" w:rsidP="00000000" w:rsidRDefault="00000000" w:rsidRPr="00000000" w14:paraId="0000000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Virtual / 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sidR="00000000" w:rsidDel="00000000" w:rsidP="00000000" w:rsidRDefault="00000000" w:rsidRPr="00000000" w14:paraId="0000000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sidR="00000000" w:rsidDel="00000000" w:rsidP="00000000" w:rsidRDefault="00000000" w:rsidRPr="00000000" w14:paraId="0000001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sidR="00000000" w:rsidDel="00000000" w:rsidP="00000000" w:rsidRDefault="00000000" w:rsidRPr="00000000" w14:paraId="0000001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modelo, botonera y tensión eléctrica</w:t>
            </w:r>
          </w:p>
        </w:tc>
        <w:tc>
          <w:tcPr>
            <w:tcBorders>
              <w:top w:color="1E3A5F" w:space="0" w:sz="4" w:val="single"/>
              <w:left w:color="1E3A5F" w:space="0" w:sz="4" w:val="single"/>
              <w:bottom w:color="1E3A5F" w:space="0" w:sz="4" w:val="single"/>
              <w:right w:color="1E3A5F" w:space="0" w:sz="4" w:val="single"/>
            </w:tcBorders>
            <w:shd w:fill="ffffff" w:val="clear"/>
            <w:tcW w:w="1701" w:type="dxa"/>
          </w:tcPr>
          <w:p w:rsidR="00000000" w:rsidDel="00000000" w:rsidP="00000000" w:rsidRDefault="00000000" w:rsidRPr="00000000" w14:paraId="000000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r>
              <w:rPr>
                <w:rFonts w:ascii="IBM Plex Sans" w:hAnsi="IBM Plex Sans"/>
              </w:rPr>
              <w:t>06/09/2026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r>
              <w:rPr>
                <w:rFonts w:ascii="IBM Plex Sans" w:hAnsi="IBM Plex Sans"/>
              </w:rPr>
              <w:t>Dueño de la Fábrica Textil</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r>
              <w:rPr>
                <w:rFonts w:ascii="IBM Plex Sans" w:hAnsi="IBM Plex Sans"/>
              </w:rP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10/09/2026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Montaje del soporte del sensor inductivo y definición de las conexiones pendientes</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19/09/2026</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completa del Nivel 1 y prueba de su funcionamiento en el telar</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Presencial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W w:w="1940" w:type="dxa"/>
          </w:tcPr>
          <w:p>
            <w:r>
              <w:t>Pendiente</w:t>
            </w:r>
          </w:p>
        </w:tc>
        <w:tc>
          <w:tcPr>
            <w:tcBorders>
              <w:top w:color="1E3A5F" w:space="0" w:sz="4" w:val="single"/>
              <w:left w:color="1E3A5F" w:space="0" w:sz="4" w:val="single"/>
              <w:bottom w:color="1E3A5F" w:space="0" w:sz="4" w:val="single"/>
              <w:right w:color="1E3A5F" w:space="0" w:sz="4" w:val="single"/>
            </w:tcBorders>
            <w:shd w:fill="ffffff" w:val="clear"/>
            <w:tcW w:w="3119" w:type="dxa"/>
          </w:tcPr>
          <w:p>
            <w:r>
              <w:t>Dueño de la Fábrica Textil / Empleado</w:t>
            </w:r>
          </w:p>
        </w:tc>
        <w:tc>
          <w:tcPr>
            <w:tcBorders>
              <w:top w:color="1E3A5F" w:space="0" w:sz="4" w:val="single"/>
              <w:left w:color="1E3A5F" w:space="0" w:sz="4" w:val="single"/>
              <w:bottom w:color="1E3A5F" w:space="0" w:sz="4" w:val="single"/>
              <w:right w:color="1E3A5F" w:space="0" w:sz="4" w:val="single"/>
            </w:tcBorders>
            <w:shd w:fill="ffffff" w:val="clear"/>
            <w:tcW w:w="3589" w:type="dxa"/>
          </w:tcPr>
          <w:p>
            <w:r>
              <w:t>Conexión final del Nivel 2 y período de prueba en funcionamiento (todavía no realizada)</w:t>
            </w:r>
          </w:p>
        </w:tc>
        <w:tc>
          <w:tcPr>
            <w:tcBorders>
              <w:top w:color="1E3A5F" w:space="0" w:sz="4" w:val="single"/>
              <w:left w:color="1E3A5F" w:space="0" w:sz="4" w:val="single"/>
              <w:bottom w:color="1E3A5F" w:space="0" w:sz="4" w:val="single"/>
              <w:right w:color="1E3A5F" w:space="0" w:sz="4" w:val="single"/>
            </w:tcBorders>
            <w:shd w:fill="ffffff" w:val="clear"/>
            <w:tcW w:w="1701" w:type="dxa"/>
          </w:tcPr>
          <w:p>
            <w:r>
              <w:t>A completar</w:t>
            </w:r>
          </w:p>
        </w:tc>
      </w:tr>
    </w:tbl>
    <w:p w:rsidR="00000000" w:rsidDel="00000000" w:rsidP="00000000" w:rsidRDefault="00000000" w:rsidRPr="00000000" w14:paraId="00000013">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4">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Entremedio hubieron otras comunicaciones con el Dueño y el Empleado para validar el proceso de la creación del FrontEnd/MockUp de la página. Hubieron alrededor de 2 a 3 encuentros virtuales en la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0000000000000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12/05/2026 – 1 hora y 15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(Project Manager, Diseñador UX/UI) y Dueño de la Fábrica Textil.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1">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7">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28">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Pivote del proyecto:</w:t>
            </w:r>
            <w:r w:rsidDel="00000000" w:rsidR="00000000" w:rsidRPr="00000000">
              <w:rPr>
                <w:rFonts w:ascii="IBM Plex Sans" w:cs="IBM Plex Sans" w:eastAsia="IBM Plex Sans" w:hAnsi="IBM Plex Sans"/>
                <w:rtl w:val="0"/>
              </w:rPr>
              <w:t xml:space="preserve"> Se descarta el monitoreo ambiental. La interfaz se centrará un 100% en el </w:t>
            </w:r>
            <w:r w:rsidDel="00000000" w:rsidR="00000000" w:rsidRPr="00000000">
              <w:rPr>
                <w:rFonts w:ascii="IBM Plex Sans" w:cs="IBM Plex Sans" w:eastAsia="IBM Plex Sans" w:hAnsi="IBM Plex Sans"/>
                <w:b w:val="1"/>
                <w:bCs w:val="1"/>
                <w:rtl w:val="0"/>
              </w:rPr>
              <w:t xml:space="preserve">Editor Matricial de Patrones</w:t>
            </w:r>
            <w:r w:rsidDel="00000000" w:rsidR="00000000" w:rsidRPr="00000000">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solicita la función de deshacer movimientos mecánicos.</w:t>
            </w:r>
          </w:p>
        </w:tc>
      </w:tr>
      <w:tr>
        <w:trPr>
          <w:cantSplit w:val="0"/>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 (UX/UI):</w:t>
            </w:r>
            <w:r w:rsidDel="00000000" w:rsidR="00000000" w:rsidRPr="00000000">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2F">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30">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val="0"/>
          <w:trHeight w:val="469.35546875000006" w:hRule="atLeast"/>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Contenido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24/06/2026 – 45 minutos.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Dueño de la Fábrica y Empleados.</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A">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3F">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0">
            <w:pPr>
              <w:spacing w:after="160" w:line="278.00000000000006" w:lineRule="auto"/>
              <w:jc w:val="center"/>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41">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1"/>
                <w:bCs w:val="1"/>
                <w:rtl w:val="0"/>
              </w:rPr>
              <w:t xml:space="preserve">Feedback crítico de anteriores encuentros (ya corregido):</w:t>
            </w:r>
            <w:r w:rsidDel="00000000" w:rsidR="00000000" w:rsidRPr="00000000">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Responsables (UX/UI y Front-End):</w:t>
            </w:r>
            <w:r w:rsidDel="00000000" w:rsidR="00000000" w:rsidRPr="00000000">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8">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val="0"/>
          <w:tblHeader w:val="0"/>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(Botones Play, Stop, Rollback)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Usabilidad Industrial:</w:t>
            </w:r>
            <w:r w:rsidDel="00000000" w:rsidR="00000000" w:rsidRPr="00000000">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i w:val="1"/>
                <w:iCs w:val="1"/>
                <w:rtl w:val="0"/>
              </w:rPr>
              <w:t xml:space="preserve">(Listado de la base de datos)</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Agilidad:</w:t>
            </w:r>
            <w:r w:rsidDel="00000000" w:rsidR="00000000" w:rsidRPr="00000000">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00000000000006" w:lineRule="auto"/>
              <w:jc w:val="left"/>
              <w:rPr>
                <w:rFonts w:ascii="IBM Plex Sans" w:cs="IBM Plex Sans" w:eastAsia="IBM Plex Sans" w:hAnsi="IBM Plex Sans"/>
                <w:b w:val="0"/>
                <w:bCs w:val="0"/>
              </w:rPr>
            </w:pPr>
            <w:r w:rsidDel="00000000" w:rsidR="00000000" w:rsidRPr="00000000">
              <w:rPr>
                <w:rtl w:val="0"/>
              </w:rPr>
            </w:r>
          </w:p>
          <w:p w:rsidR="00000000" w:rsidDel="00000000" w:rsidP="00000000" w:rsidRDefault="00000000" w:rsidRPr="00000000" w14:paraId="00000057">
            <w:pPr>
              <w:spacing w:after="160" w:line="278.0000000000000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00000000000006"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Nuevo Alcance:</w:t>
            </w:r>
            <w:r w:rsidDel="00000000" w:rsidR="00000000" w:rsidRPr="00000000">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Minuta - Reunión 3: Costos y modelos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sidDel="00000000" w:rsidR="00000000" w:rsidRPr="00000000">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19/08/2026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rtl w:val="0"/>
              </w:rPr>
              <w:br w:type="textWrapping"/>
            </w:r>
            <w:r w:rsidDel="00000000" w:rsidR="00000000" w:rsidRPr="00000000">
              <w:rPr>
                <w:rFonts w:ascii="IBM Plex Sans" w:cs="IBM Plex Sans" w:eastAsia="IBM Plex Sans" w:hAnsi="IBM Plex Sans"/>
                <w:b w:val="1"/>
                <w:bCs w:val="1"/>
                <w:rtl w:val="0"/>
              </w:rPr>
              <w:t xml:space="preserve"> 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1. Identificación del modelo real del telar mediante su placa de datos: Vamatex C201, matrícula 1104, revisado en 1989.</w:t>
              <w:br w:type="textWrapping"/>
              <w:t xml:space="preserve"> 2. Relevamiento fotográfico completo de la botonera: 5 pulsadores (Avviamento/Marcha, Stop/Pausa, Marcia Discontinua/Impulso, Avanti/Avanzar, Indietro/Retroceder).</w:t>
              <w:br w:type="textWrapping"/>
              <w:t xml:space="preserve"> 3. Medición de tensión en la botonera: confirmado 24V AC (no DC).</w:t>
              <w:br w:type="textWrapping"/>
              <w:t xml:space="preserve"> 4. Confirmación del máximo de matrices/marcos que el telar puede ejecutar en simultáneo: 8 (no 20, como sugerían avisos de venta de otras unidades).</w:t>
              <w:br w:type="textWrapping"/>
              <w:t xml:space="preserve"> 5. El dueño de la fábrica propuso usar electroválvulas para diferenciar entre dibujos y matrices.</w:t>
              <w:br w:type="textWrapping"/>
              <w:t xml:space="preserve"> 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 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sidDel="00000000" w:rsidR="00000000" w:rsidRPr="00000000">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Antes de eso es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Ir viendo el pasar todo a una plaqueta y para eso se necesita la ayuda del partner de electrónica y realizar el circuito en Proteus.</w:t>
            </w:r>
          </w:p>
        </w:tc>
      </w:tr>
    </w:tbl>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sidDel="00000000" w:rsidR="00000000" w:rsidRPr="00000000">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B">
      <w:pPr>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Minuta - Reunión 7: Conexión final y prueba del Nivel 2 (todavía no realizada)</w:t>
      </w:r>
    </w:p>
    <w:p w:rsidR="00000000" w:rsidDel="00000000" w:rsidP="00000000" w:rsidRDefault="00000000" w:rsidRPr="00000000" w14:paraId="0000005C">
      <w:pPr>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Reunión prevista, todavía no realizada: conexión final del Nivel 2 y período de prueba en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val="0"/>
          <w:trHeight w:val="360" w:hRule="atLeast"/>
          <w:tblHeader w:val="0"/>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val="0"/>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(todavía no realizada).</w:t>
            </w:r>
          </w:p>
        </w:tc>
      </w:tr>
      <w:tr>
        <w:trPr>
          <w:cantSplit w:val="0"/>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val="0"/>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final del Nivel 2.</w:t>
            </w:r>
          </w:p>
          <w:p>
            <w:pPr>
              <w:jc w:val="both"/>
            </w:pPr>
            <w:r>
              <w:t>2. Período de prueba en funcionamiento.</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A completar cuando se realice.</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E31CDE"/>
    <w:rPr>
      <w:i w:val="1"/>
      <w:iCs w:val="1"/>
      <w:color w:val="404040" w:themeColor="text1" w:themeTint="0000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0000BF"/>
    </w:rPr>
  </w:style>
  <w:style w:type="paragraph" w:styleId="Citadestacada">
    <w:name w:val="Intense Quote"/>
    <w:basedOn w:val="Normal"/>
    <w:next w:val="Normal"/>
    <w:link w:val="CitadestacadaCar"/>
    <w:uiPriority w:val="30"/>
    <w:qFormat w:val="1"/>
    <w:rsid w:val="00E31CD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E31CDE"/>
    <w:rPr>
      <w:i w:val="1"/>
      <w:iCs w:val="1"/>
      <w:color w:val="2f5496" w:themeColor="accent1" w:themeShade="0000BF"/>
    </w:rPr>
  </w:style>
  <w:style w:type="character" w:styleId="Referenciaintensa">
    <w:name w:val="Intense Reference"/>
    <w:basedOn w:val="Fuentedeprrafopredeter"/>
    <w:uiPriority w:val="32"/>
    <w:qFormat w:val="1"/>
    <w:rsid w:val="00E31CDE"/>
    <w:rPr>
      <w:b w:val="1"/>
      <w:bCs w:val="1"/>
      <w:smallCaps w:val="1"/>
      <w:color w:val="2f5496" w:themeColor="accent1" w:themeShade="0000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