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elegida,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3107"/>
        <w:gridCol w:w="1900"/>
        <w:gridCol w:w="1510"/>
        <w:gridCol w:w="1501"/>
        <w:gridCol w:w="1649"/>
        <w:gridCol w:w="1800"/>
        <w:gridCol w:w="2289"/>
        <w:tblGridChange w:id="0">
          <w:tblGrid>
            <w:gridCol w:w="1129"/>
            <w:gridCol w:w="4111"/>
            <w:gridCol w:w="1459"/>
            <w:gridCol w:w="1510"/>
            <w:gridCol w:w="1501"/>
            <w:gridCol w:w="1649"/>
            <w:gridCol w:w="1237"/>
            <w:gridCol w:w="2289"/>
          </w:tblGrid>
        </w:tblGridChange>
      </w:tblGrid>
      <w:tr>
        <w:trPr>
          <w:cantSplit/>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138,65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$6.660.399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54,07</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$2.943.706</w:t>
            </w:r>
            <w:r>
              <w:rPr>
                <w:rtl w:val="0"/>
              </w:rPr>
            </w:r>
          </w:p>
        </w:tc>
      </w:tr>
      <w:tr>
        <w:trPr>
          <w:cantSplit/>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72,30</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$3.936.193</w:t>
            </w:r>
            <w:r>
              <w:rPr>
                <w:rtl w:val="0"/>
              </w:rPr>
            </w:r>
          </w:p>
        </w:tc>
      </w:tr>
      <w:tr>
        <w:trPr>
          <w:cantSplit/>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102,12</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$5.232.629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50,85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$2.605.554</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38,72</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$1.984.013</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17,90</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$917.196</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79,92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$3.455.241</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59,45</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$2.855.829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29,00</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$1.253.779</w:t>
            </w:r>
            <w:r>
              <w:rPr>
                <w:rtl w:val="0"/>
              </w:rPr>
            </w:r>
          </w:p>
        </w:tc>
      </w:tr>
      <w:tr>
        <w:trPr>
          <w:cantSplit/>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$31.844.539</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tag w:val="goog_rdk_0"/>
          <w:id w:val="663124119"/>
        </w:sdtPr>
        <w:sdtContent>
          <w:r>
            <w:rPr>
              <w:rFonts w:ascii="IBM Plex Sans" w:cs="IBM Plex Sans" w:eastAsia="IBM Plex Sans" w:hAnsi="IBM Plex Sans"/>
              <w:sz w:val="24"/>
              <w:szCs w:val="24"/>
              <w:rtl w:val="0"/>
            </w:rPr>
            <w:t xml:space="preserve">⚠ Actualización 19-24/08/26: se confirmó el modelo real del telar (Vamatex C 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Bloque B pasó a ser medición/test sin costo (instrumental prestado). Con el gabinete, prensacables y borneras ya cargados como costo real, el subtotal de componentes quedó en $122.139.</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 Pausa y Retroceder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ya comprado; el resto, junto con el Bloque D</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Después de medir el lector (medido el 17/10/2026)</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$34.536</w:t>
            </w:r>
          </w:p>
        </w:tc>
      </w:tr>
      <w:tr>
        <w:trPr>
          <w:cantSplit/>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$122.139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$31.844.539</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$122.139</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$32.076.353</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$8.019.088</w:t>
            </w:r>
            <w:r>
              <w:rPr>
                <w:rtl w:val="0"/>
              </w:rPr>
            </w:r>
          </w:p>
        </w:tc>
      </w:tr>
      <w:tr>
        <w:trPr>
          <w:cantSplit/>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$40.095.441</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keepNext/>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$32.076.353 de costo total, el 99,3% ($31.844.539) es costo de personal y apenas el 0,7% restante ($231.814, materiales y gastos operativos) es dinero que el equipo realmente va a desembolsar (componentes + gastos varios). Esto no es un error de cálculo: la tarifa de personal es un valor de referencia de mercado para un profesional junior, aplicado a las 643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$122.139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keepNext/>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(99,3%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$38.200.000 (y el presupuesto final con margen a cerca de $48.100.000),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keepNext/>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Cable de control:</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tag w:val="goog_rdk_1"/>
          <w:id w:val="-707200803"/>
        </w:sdtPr>
        <w:sdtContent>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Gabinete o caja de protección:</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($122.139)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$32.076.353 (personal + componentes + gastos varios), se aplica un margen del 25%, lo que deja una ganancia proyectada de $8.019.088 sobre un presupuesto final de $40.095.441.</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$122.139, distribuidos en los Bloques A, C y D. El Bloque A ya está comprado e instalado; del Bloque C ya se compró el sensor, y lo que falta de los Bloques C y D se compra con la medición del lector óptico, hecha el 17/10/2026.</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evaluaron tres alternativas de modalidad de inversión. El equipo eligió la mixta, que se detalla, con su plan de aportes por etapa, en el documento "Modalidad de Inversión, Ganancia y Contrato/Garantía":</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(la elegida):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También incluye la Garantía, en la sección 10.7; acá se resume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de uno a tres meses desde la aceptación, en línea con el cierre de proyecto previsto para el 14/11/2026. El plazo exacto dentro de ese rango se define con la cátedra al momento de la entrega final,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trHeight w:val="360" w:hRule="atLeast"/>
          <w:tblHeader/>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 maniobras con carga (vida eléctrica del relé Songle SRD-05VDC; la mecánica, sin carga, es de 10 millones). A 20 arranques/pausas por turno ≈ 10 años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 preventivo si se escucha el clic irregular o falla algún canal</w:t>
            </w:r>
          </w:p>
        </w:tc>
      </w:tr>
      <w:tr>
        <w:trPr>
          <w:cantSplit/>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 fuente conmutada: 5-8 años en uso continuo. Los capacitores internos son lo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 (debe dar 5 V estables). Cambiar si baja de 4,75 V o fluctúa</w:t>
            </w:r>
          </w:p>
        </w:tc>
      </w:tr>
      <w:tr>
        <w:trPr>
          <w:cantSplit/>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 ante falla; el riesgo real es humedad o calor, no desgaste</w:t>
            </w:r>
          </w:p>
        </w:tc>
      </w:tr>
      <w:tr>
        <w:trPr>
          <w:cantSplit/>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 sensado empieza a fallar de forma intermitente</w:t>
            </w:r>
          </w:p>
        </w:tc>
      </w:tr>
      <w:tr>
        <w:trPr>
          <w:cantSplit/>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 y la fijación, no el sensor</w:t>
            </w:r>
          </w:p>
        </w:tc>
      </w:tr>
      <w:tr>
        <w:trPr>
          <w:cantSplit/>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Relés LCA110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contactos ni partes móviles: muy larga. Lo que falla suele ser una soldadura o un error de cableado</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Van en zócalo: se cambian en segundos. Tener uno de repuesto</w:t>
            </w:r>
          </w:p>
        </w:tc>
      </w:tr>
      <w:tr>
        <w:trPr>
          <w:cantSplit/>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 en cada visita: cable rozado, prensacable flojo</w:t>
            </w:r>
          </w:p>
        </w:tc>
      </w:tr>
      <w:tr>
        <w:trPr>
          <w:cantSplit/>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keepNext/>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$45.750/h,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trHeight w:val="705" w:hRule="atLeast"/>
          <w:tblHeader/>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de la botonera, de los 4 relés de selección LCA110, del sensor de pasada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$228.750 por visita</w:t>
            </w:r>
          </w:p>
        </w:tc>
      </w:tr>
      <w:tr>
        <w:trPr>
          <w:cantSplit/>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$228.750 por intervención (mínimo 4 h)</w:t>
            </w:r>
          </w:p>
        </w:tc>
      </w:tr>
      <w:tr>
        <w:trPr>
          <w:cantSplit/>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módulos de relé $5.000 · fuente HLK-5M05 $7.000 · ESP32 $12.203 · relé LCA110 $6.034 · sensor inductivo $7.000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($40.095.441 con margen), pero el plan Completo factura $1.555.500 al año en abonos más $457.500 en visitas, o sea unos $2.013.000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$194.438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keepNext/>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$32.076.353, compuesto casi en su totalidad (99,3%) por el valor del trabajo del equipo y solo marginalmente (0,7%, $231.814) por dinero que realmente hay que desembolsar en componentes y gastos operativos. Con el margen del 25% ya usado en la plantilla original, el presupuesto final asciende a $40.095.441, dejando una ganancia proyectada de $8.019.088.</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modalidad de inversión ya está definida: mixta (Sección 4.2). Quedan tres decisiones abiertas para el equipo antes de la entrega final (14/11/2026):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