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spacing w:after="90"/>
        <w:ind w:left="360"/>
      </w:pPr>
      <w:r>
        <w:rPr>
          <w:sz w:val="21"/>
          <w:szCs w:val="21"/>
        </w:rPr>
        <w:t>2.1 Plan de aportes por etapa</w:t>
      </w:r>
    </w:p>
    <w:p>
      <w:pPr>
        <w:spacing w:after="90"/>
        <w:ind w:left="360"/>
      </w:pPr>
      <w:r>
        <w:rPr>
          <w:sz w:val="21"/>
          <w:szCs w:val="21"/>
        </w:rPr>
        <w:t>2.2 Recuperación de la inversión</w:t>
      </w:r>
    </w:p>
    <w:p>
      <w:pPr>
        <w:spacing w:after="90"/>
      </w:pPr>
      <w:r>
        <w:rPr>
          <w:sz w:val="21"/>
          <w:szCs w:val="21"/>
        </w:rPr>
        <w:t xml:space="preserve">3. Contrato</w:t>
      </w:r>
    </w:p>
    <w:p>
      <w:pPr>
        <w:spacing w:after="90"/>
        <w:ind w:left="360"/>
      </w:pPr>
      <w:r>
        <w:rPr>
          <w:sz w:val="21"/>
          <w:szCs w:val="21"/>
        </w:rPr>
        <w:t>3.1 Objeto y alcance</w:t>
      </w:r>
    </w:p>
    <w:p>
      <w:pPr>
        <w:spacing w:after="90"/>
        <w:ind w:left="360"/>
      </w:pPr>
      <w:r>
        <w:rPr>
          <w:sz w:val="21"/>
          <w:szCs w:val="21"/>
        </w:rPr>
        <w:t>3.2 Plazos y entregables</w:t>
      </w:r>
    </w:p>
    <w:p>
      <w:pPr>
        <w:spacing w:after="90"/>
      </w:pPr>
      <w:r>
        <w:rPr>
          <w:sz w:val="21"/>
          <w:szCs w:val="21"/>
        </w:rPr>
        <w:t xml:space="preserve">4. Garantía</w:t>
      </w:r>
    </w:p>
    <w:p>
      <w:pPr>
        <w:spacing w:after="90"/>
        <w:ind w:left="360"/>
      </w:pPr>
      <w:r>
        <w:rPr>
          <w:sz w:val="21"/>
          <w:szCs w:val="21"/>
        </w:rPr>
        <w:t>4.1 Vigencia y cobertura</w:t>
      </w:r>
    </w:p>
    <w:p>
      <w:pPr>
        <w:spacing w:after="90"/>
      </w:pPr>
      <w:r>
        <w:rPr>
          <w:sz w:val="21"/>
          <w:szCs w:val="21"/>
        </w:rPr>
        <w:t xml:space="preserve">5. Dos formas de venta: Hardware y Software</w:t>
      </w:r>
    </w:p>
    <w:p>
      <w:pPr>
        <w:spacing w:after="90"/>
        <w:ind w:left="360"/>
      </w:pPr>
      <w:r>
        <w:rPr>
          <w:sz w:val="21"/>
          <w:szCs w:val="21"/>
        </w:rPr>
        <w:t>5.1 Metodología de reparto</w:t>
      </w:r>
    </w:p>
    <w:p>
      <w:pPr>
        <w:spacing w:after="90"/>
        <w:ind w:left="360"/>
      </w:pPr>
      <w:r>
        <w:rPr>
          <w:sz w:val="21"/>
          <w:szCs w:val="21"/>
        </w:rPr>
        <w:t>5.2 Costo y precio por producto</w:t>
      </w:r>
    </w:p>
    <w:p>
      <w:pPr>
        <w:spacing w:after="90"/>
        <w:ind w:left="360"/>
      </w:pPr>
      <w:r>
        <w:rPr>
          <w:sz w:val="21"/>
          <w:szCs w:val="21"/>
        </w:rPr>
        <w:t>5.3 Comparación de las dos vías</w:t>
      </w:r>
    </w:p>
    <w:p>
      <w:pPr>
        <w:spacing w:after="90"/>
      </w:pPr>
      <w:r>
        <w:rPr>
          <w:sz w:val="21"/>
          <w:szCs w:val="21"/>
        </w:rPr>
        <w:t xml:space="preserve">6. Conclusión</w:t>
      </w:r>
    </w:p>
    <w:p>
      <w:r>
        <w:br w:type="page"/>
      </w:r>
    </w:p>
    <w:p>
      <w:pPr>
        <w:pStyle w:val="Heading1"/>
        <w:keepNext/>
        <w:spacing w:after="160" w:before="360"/>
      </w:pPr>
      <w:r>
        <w:t xml:space="preserve">1. Ganancia del proyecto</w:t>
      </w:r>
    </w:p>
    <w:p>
      <w:pPr>
        <w:spacing w:after="150"/>
      </w:pPr>
      <w:r>
        <w:rPr>
          <w:b w:val="false"/>
          <w:bCs w:val="false"/>
          <w:i w:val="false"/>
          <w:iCs w:val="false"/>
        </w:rPr>
        <w:t xml:space="preserve">Sobre el costo total estimado del proyecto ($32.076.353,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rPr>
          <w:cantSplit/>
        </w:trP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$32.076.353</w:t>
            </w:r>
          </w:p>
        </w:tc>
      </w:tr>
      <w:tr>
        <w:trPr>
          <w:cantSplit/>
        </w:trP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$8.019.088</w:t>
            </w:r>
          </w:p>
        </w:tc>
      </w:tr>
      <w:tr>
        <w:trPr>
          <w:cantSplit/>
        </w:trP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$40.095.441 / $8.019.088</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keepNext/>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keepNext/>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cantSplit/>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rPr>
          <w:cantSplit/>
        </w:trP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($73.653),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rPr>
          <w:cantSplit/>
        </w:trP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rPr>
          <w:cantSplit/>
        </w:trP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(tareas 5.9 y 7.4, hechas)</w:t>
            </w:r>
          </w:p>
        </w:tc>
      </w:tr>
      <w:tr>
        <w:trPr>
          <w:cantSplit/>
        </w:trP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keepNext/>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($40.095.441), no contra el costo puro: la diferencia entre ambos ($8.019.088)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quedaba condicionado a que la medición del telar confirmara el diseño y la cantidad de relés de selección necesarios: ya están confirmados (cuatro relés, uno por bobina, desde el 19/09/2026, y la alimentación del lector, entre 15 y 30 V, medida el 17/10/2026).</w:t>
      </w:r>
    </w:p>
    <w:p>
      <w:pPr>
        <w:pStyle w:val="Heading1"/>
        <w:keepNext/>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keepNext/>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keepNext/>
        <w:spacing w:after="120" w:before="240"/>
      </w:pPr>
      <w:r>
        <w:t xml:space="preserve">3.2 Plazos y entregables</w:t>
      </w:r>
    </w:p>
    <w:p>
      <w:pPr>
        <w:pStyle w:val="ListParagraph"/>
        <w:numPr>
          <w:ilvl w:val="0"/>
          <w:numId w:val="1"/>
        </w:numPr>
        <w:spacing w:after="90"/>
      </w:pPr>
      <w:r>
        <w:t xml:space="preserve">3ra presentación de avances: 22/09/2026, con el Nivel 1 (Bloque A) terminado y funcionando (instalado y probado en el telar el 19/09/2026).</w:t>
      </w:r>
    </w:p>
    <w:p>
      <w:pPr>
        <w:pStyle w:val="ListParagraph"/>
        <w:numPr>
          <w:ilvl w:val="0"/>
          <w:numId w:val="1"/>
        </w:numPr>
        <w:spacing w:after="90"/>
      </w:pPr>
      <w:r>
        <w:t xml:space="preserve">Presentación a los profesores: 04/11/2026. Presentación final y cierre del proyecto: 14/11/2026, en la Expo de 7mo año (Etapa 08).</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keepNext/>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keepNext/>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keepNext/>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keepNext/>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(44,7% Hardware / 55,3% Software, la del personal asignado directamente). Los componentes electrónicos ($122.139) se asignan 100% a Hardware por ser piezas físicas; los gastos varios se prorratean igual que el personal compartido.</w:t>
      </w:r>
    </w:p>
    <w:p>
      <w:pPr>
        <w:pStyle w:val="Heading2"/>
        <w:keepNext/>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cantSplit/>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rPr>
          <w:cantSplit/>
        </w:trP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$14.401.855</w:t>
            </w:r>
          </w:p>
        </w:tc>
        <w:tc>
          <w:tcPr>
            <w:tcW w:type="dxa" w:w="2500"/>
            <w:vAlign w:val="center"/>
          </w:tcPr>
          <w:p>
            <w:r>
              <w:rPr>
                <w:b w:val="false"/>
                <w:bCs w:val="false"/>
                <w:color w:val="000000"/>
                <w:sz w:val="19"/>
                <w:szCs w:val="19"/>
              </w:rPr>
              <w:t xml:space="preserve">$18.002.318</w:t>
            </w:r>
          </w:p>
        </w:tc>
        <w:tc>
          <w:tcPr>
            <w:tcW w:type="dxa" w:w="1000"/>
            <w:vAlign w:val="center"/>
          </w:tcPr>
          <w:p>
            <w:r>
              <w:rPr>
                <w:b w:val="false"/>
                <w:bCs w:val="false"/>
                <w:color w:val="000000"/>
                <w:sz w:val="19"/>
                <w:szCs w:val="19"/>
              </w:rPr>
              <w:t xml:space="preserve">44,9%</w:t>
            </w:r>
          </w:p>
        </w:tc>
      </w:tr>
      <w:tr>
        <w:trPr>
          <w:cantSplit/>
        </w:trP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$17.674.498</w:t>
            </w:r>
          </w:p>
        </w:tc>
        <w:tc>
          <w:tcPr>
            <w:tcW w:type="dxa" w:w="2500"/>
            <w:vAlign w:val="center"/>
          </w:tcPr>
          <w:p>
            <w:r>
              <w:rPr>
                <w:b w:val="false"/>
                <w:bCs w:val="false"/>
                <w:color w:val="000000"/>
                <w:sz w:val="19"/>
                <w:szCs w:val="19"/>
              </w:rPr>
              <w:t xml:space="preserve">$22.093.123</w:t>
            </w:r>
          </w:p>
        </w:tc>
        <w:tc>
          <w:tcPr>
            <w:tcW w:type="dxa" w:w="1000"/>
            <w:vAlign w:val="center"/>
          </w:tcPr>
          <w:p>
            <w:r>
              <w:rPr>
                <w:b w:val="false"/>
                <w:bCs w:val="false"/>
                <w:color w:val="000000"/>
                <w:sz w:val="19"/>
                <w:szCs w:val="19"/>
              </w:rPr>
              <w:t xml:space="preserve">55,1%</w:t>
            </w:r>
          </w:p>
        </w:tc>
      </w:tr>
      <w:tr>
        <w:trPr>
          <w:cantSplit/>
        </w:trP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$32.076.353</w:t>
            </w:r>
          </w:p>
        </w:tc>
        <w:tc>
          <w:tcPr>
            <w:tcW w:type="dxa" w:w="2500"/>
            <w:shd w:fill="D9E1F2" w:val="clear"/>
            <w:vAlign w:val="center"/>
          </w:tcPr>
          <w:p>
            <w:r>
              <w:rPr>
                <w:b/>
                <w:bCs/>
                <w:color w:val="000000"/>
                <w:sz w:val="19"/>
                <w:szCs w:val="19"/>
              </w:rPr>
              <w:t xml:space="preserve">$40.095.441</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keepNext/>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($40.095.441).</w:t>
      </w:r>
    </w:p>
    <w:p>
      <w:pPr>
        <w:pStyle w:val="Heading1"/>
        <w:keepNext/>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$8.019.088 sobre un presupuesto final de $40.095.441. La garantía del sistema entregado queda fijada entre 1 y 3 meses desde la aceptación, cubriendo soporte de software/firmware sin costo adicional durante ese período. Además del paquete combinado, el equipo tiene la opción de vender Hardware ($18.002.318) y Software ($22.093.123)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