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val="1"/>
          <w:bCs w:val="1"/>
          <w:rtl w:val="0"/>
        </w:rPr>
        <w:t xml:space="preserve">filas</w:t>
      </w:r>
      <w:r w:rsidDel="00000000" w:rsidR="00000000" w:rsidRPr="00000000">
        <w:rPr>
          <w:rtl w:val="0"/>
        </w:rPr>
        <w:t xml:space="preserve"> ("Fil.") y de </w:t>
      </w:r>
      <w:r w:rsidDel="00000000" w:rsidR="00000000" w:rsidRPr="00000000">
        <w:rPr>
          <w:b w:val="1"/>
          <w:bCs w:val="1"/>
          <w:rtl w:val="0"/>
        </w:rPr>
        <w:t xml:space="preserve">columnas</w:t>
      </w:r>
      <w:r w:rsidDel="00000000" w:rsidR="00000000" w:rsidRPr="00000000">
        <w:rPr>
          <w:rtl w:val="0"/>
        </w:rPr>
        <w:t xml:space="preserve"> ("Col.") que va a tener la matriz. El sistema admite un mínimo de 2 y un máximo de 32 en cada dimensión.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Si se ingresa un número fuera del rango permitido, el sistema avisa mediante un mensaje y ajusta automáticamente el valor al límite permitido más cercano (por ejemplo, si se ingresa un número mayor a 32, lo deja en 32).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962646"/>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962646"/>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Al lado del nombre, la aplicación muestra un indicador de estado del dibujo (</w:t>
      </w:r>
      <w:r w:rsidDel="00000000" w:rsidR="00000000" w:rsidRPr="00000000">
        <w:rPr>
          <w:b w:val="1"/>
          <w:bCs w:val="1"/>
          <w:rtl w:val="0"/>
        </w:rPr>
        <w:t xml:space="preserve">Nuevo</w:t>
      </w:r>
      <w:r w:rsidDel="00000000" w:rsidR="00000000" w:rsidRPr="00000000">
        <w:rPr>
          <w:rtl w:val="0"/>
        </w:rPr>
        <w:t xml:space="preserve">, </w:t>
      </w:r>
      <w:r w:rsidDel="00000000" w:rsidR="00000000" w:rsidRPr="00000000">
        <w:rPr>
          <w:b w:val="1"/>
          <w:bCs w:val="1"/>
          <w:rtl w:val="0"/>
        </w:rPr>
        <w:t xml:space="preserve">Modificado</w:t>
      </w:r>
      <w:r w:rsidDel="00000000" w:rsidR="00000000" w:rsidRPr="00000000">
        <w:rPr>
          <w:rtl w:val="0"/>
        </w:rPr>
        <w:t xml:space="preserve">, </w:t>
      </w:r>
      <w:r w:rsidDel="00000000" w:rsidR="00000000" w:rsidRPr="00000000">
        <w:rPr>
          <w:b w:val="1"/>
          <w:bCs w:val="1"/>
          <w:rtl w:val="0"/>
        </w:rPr>
        <w:t xml:space="preserve">Guardado</w:t>
      </w:r>
      <w:r w:rsidDel="00000000" w:rsidR="00000000" w:rsidRPr="00000000">
        <w:rPr>
          <w:rtl w:val="0"/>
        </w:rPr>
        <w:t xml:space="preserve">),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4695516"/>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4695516"/>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774113"/>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774113"/>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patrón cargado. Los números dentro de las celdas son las pasadas de cada punto.</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1042485"/>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1042485"/>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556708"/>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556708"/>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 xml:space="preserve">7. Pendientes para la versión final del manual</w:t>
      </w:r>
      <w:r w:rsidDel="00000000" w:rsidR="00000000" w:rsidRPr="00000000">
        <w:rPr>
          <w:rtl w:val="0"/>
        </w:rPr>
      </w:r>
    </w:p>
    <w:p w:rsidR="00000000" w:rsidDel="00000000" w:rsidP="00000000" w:rsidRDefault="00000000" w:rsidRPr="00000000" w14:paraId="000000A5">
      <w:pPr>
        <w:rPr/>
      </w:pPr>
      <w:r w:rsidDel="00000000" w:rsidR="00000000" w:rsidRPr="00000000">
        <w:rPr>
          <w:i w:val="1"/>
          <w:iCs w:val="1"/>
          <w:rtl w:val="0"/>
        </w:rPr>
        <w:t xml:space="preserve">Fin del contenido del Manual 1 (página web). El Manual 2, sobre el uso del telar físico en la fábrica y la modificación incorporada, se desarrolla por separado.</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