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(Dashboard Central): </w:t>
      </w:r>
      <w:r>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Pr>
          <w:rFonts w:ascii="IBM Plex Sans" w:cs="IBM Plex Sans" w:eastAsia="IBM Plex Sans" w:hAnsi="IBM Plex Sans"/>
          <w:i w:val="1"/>
          <w:iCs w:val="1"/>
          <w:color w:val="000000"/>
          <w:rtl w:val="0"/>
        </w:rPr>
        <w:t>feedback</w:t>
      </w:r>
      <w:r>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Matrices: </w:t>
      </w:r>
      <w:r>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Pr>
          <w:rFonts w:ascii="IBM Plex Sans" w:cs="IBM Plex Sans" w:eastAsia="IBM Plex Sans" w:hAnsi="IBM Plex Sans"/>
          <w:i w:val="1"/>
          <w:iCs w:val="1"/>
          <w:color w:val="000000"/>
          <w:rtl w:val="0"/>
        </w:rPr>
        <w:t>inputs</w:t>
      </w:r>
      <w:r>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Biblioteca de Matrices (Gestión CRUD):</w:t>
      </w:r>
      <w:r>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la botonera recibe 24V AC (no DC). En el C 401, donde se instala el sistema, hay que volver a medirla: se espera menos de 24 V, y define el valor de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100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Dashboard de Inicio (Supervisión en Tiempo Real):</w:t>
      </w:r>
      <w:r>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Matricial de Ligamentos:</w:t>
      </w:r>
      <w:r>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CRUD de Ligamentos (Gestión de Archivos):</w:t>
      </w:r>
      <w:r>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del telar y cada columna un elemento de selección.</w:t>
      </w:r>
    </w:p>
    <w:p>
      <w:pPr>
        <w:jc w:val="center"/>
      </w:pPr>
      <w:r>
        <w:rPr>
          <w:rFonts w:ascii="IBM Plex Sans" w:hAnsi="IBM Plex Sans" w:cs="IBM Plex Sans" w:eastAsia="IBM Plex Sans"/>
          <w:i/>
          <w:color w:val="606060"/>
          <w:sz w:val="18"/>
        </w:rPr>
        <w:t>Figura 9.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en el C 401 se verifican antes de instalar.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11.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4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pasada y cada columna un elemento seleccionable. Admite de 1 a 100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14.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$29.802.914 según las tarifas del proyecto, el costo total asciende a $30.034.728. Aplicando el margen del 25 % previsto, el presupuesto final es de $37.543.410, con una ganancia proyectada de $7.508.682.</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