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 xml:space="preserve">Esta guía ordena lo que falta hacer en los dos bloques que quedan. A diferencia del Bloque A, que ya está armado y validado en banco,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El negativo debe compartirse con el GND del sistema.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Cable negro del sensor → resistencia limitadora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negativo de esa alimentación.</w:t>
      </w:r>
    </w:p>
    <w:p>
      <w:pPr>
        <w:pStyle w:val="ListParagraph"/>
        <w:numPr>
          <w:ilvl w:val="0"/>
          <w:numId w:val="2"/>
        </w:numPr>
        <w:spacing w:after="90"/>
      </w:pPr>
      <w:r>
        <w:rPr>
          <w:rFonts w:ascii="IBM Plex Sans" w:cs="IBM Plex Sans" w:eastAsia="IBM Plex Sans" w:hAnsi="IBM Plex Sans"/>
          <w:sz w:val="22"/>
          <w:szCs w:val="22"/>
        </w:rPr>
        <w:t xml:space="preserve">Pin 4 → GPIO libre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SSR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Las patas 4 y 6 van en el circuito del lector óptico; la 3 y la 5 quedan sin conectar.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