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CenturyGothic-bold.ttf" ContentType="application/x-font-ttf"/>
  <Override PartName="/word/fonts/CenturyGothic-boldItalic.ttf" ContentType="application/x-font-ttf"/>
  <Override PartName="/word/fonts/CenturyGothic-italic.ttf" ContentType="application/x-font-ttf"/>
  <Override PartName="/word/fonts/CenturyGothic-regular.ttf" ContentType="application/x-font-ttf"/>
  <Override PartName="/word/fonts/NotoSansSymbols-bold.ttf" ContentType="application/x-font-ttf"/>
  <Override PartName="/word/fonts/NotoSansSymbols-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00" w:lineRule="auto"/>
        <w:rPr>
          <w:rFonts w:ascii="IBM Plex Sans" w:cs="IBM Plex Sans" w:eastAsia="IBM Plex Sans" w:hAnsi="IBM Plex Sans"/>
          <w:color w:val="16304F"/>
          <w:sz w:val="24"/>
          <w:szCs w:val="24"/>
        </w:rPr>
      </w:pPr>
      <w:r w:rsidDel="00000000" w:rsidR="00000000" w:rsidRPr="00000000">
        <w:rPr>
          <w:rFonts w:ascii="IBM Plex Sans" w:cs="IBM Plex Sans" w:eastAsia="IBM Plex Sans" w:hAnsi="IBM Plex Sans"/>
          <w:b w:val="1"/>
          <w:bCs w:val="1"/>
          <w:color w:val="16304F"/>
          <w:sz w:val="42"/>
          <w:szCs w:val="42"/>
          <w:rtl w:val="0"/>
        </w:rPr>
        <w:t xml:space="preserve">ESTIMACIÓN DE COSTOS, GANANCIA Y ASPECTOS CONTRACTUALES</w:t>
      </w:r>
      <w:r w:rsidDel="00000000" w:rsidR="00000000" w:rsidRPr="00000000">
        <w:rPr>
          <w:rtl w:val="0"/>
        </w:rPr>
      </w:r>
    </w:p>
    <w:p w:rsidR="00000000" w:rsidDel="00000000" w:rsidP="00000000" w:rsidRDefault="00000000" w:rsidRPr="00000000" w14:paraId="00000002">
      <w:pPr>
        <w:spacing w:after="100" w:lineRule="auto"/>
        <w:rPr>
          <w:rFonts w:ascii="IBM Plex Sans" w:cs="IBM Plex Sans" w:eastAsia="IBM Plex Sans" w:hAnsi="IBM Plex Sans"/>
          <w:color w:val="1E3A5F"/>
          <w:sz w:val="24"/>
          <w:szCs w:val="24"/>
        </w:rPr>
      </w:pPr>
      <w:r w:rsidDel="00000000" w:rsidR="00000000" w:rsidRPr="00000000">
        <w:rPr>
          <w:rFonts w:ascii="IBM Plex Sans" w:cs="IBM Plex Sans" w:eastAsia="IBM Plex Sans" w:hAnsi="IBM Plex Sans"/>
          <w:color w:val="1E3A5F"/>
          <w:sz w:val="30"/>
          <w:szCs w:val="30"/>
          <w:rtl w:val="0"/>
        </w:rPr>
        <w:t xml:space="preserve">Proyecto: Automatización de Telar Industrial, Lectura y Control de Inserción de Trama</w:t>
      </w:r>
      <w:r w:rsidDel="00000000" w:rsidR="00000000" w:rsidRPr="00000000">
        <w:rPr>
          <w:rtl w:val="0"/>
        </w:rPr>
      </w:r>
    </w:p>
    <w:p w:rsidR="00000000" w:rsidDel="00000000" w:rsidP="00000000" w:rsidRDefault="00000000" w:rsidRPr="00000000" w14:paraId="00000003">
      <w:pPr>
        <w:spacing w:after="400" w:lineRule="auto"/>
        <w:rPr>
          <w:rFonts w:ascii="IBM Plex Sans" w:cs="IBM Plex Sans" w:eastAsia="IBM Plex Sans" w:hAnsi="IBM Plex Sans"/>
          <w:i w:val="1"/>
          <w:iCs w:val="1"/>
          <w:color w:val="808080"/>
          <w:sz w:val="24"/>
          <w:szCs w:val="24"/>
        </w:rPr>
      </w:pPr>
      <w:r w:rsidDel="00000000" w:rsidR="00000000" w:rsidRPr="00000000">
        <w:rPr>
          <w:rFonts w:ascii="IBM Plex Sans" w:cs="IBM Plex Sans" w:eastAsia="IBM Plex Sans" w:hAnsi="IBM Plex Sans"/>
          <w:i w:val="1"/>
          <w:iCs w:val="1"/>
          <w:color w:val="808080"/>
          <w:sz w:val="24"/>
          <w:szCs w:val="24"/>
          <w:rtl w:val="0"/>
        </w:rPr>
        <w:t xml:space="preserve">7mo año, Informática B</w:t>
      </w:r>
    </w:p>
    <w:p w:rsidR="00000000" w:rsidDel="00000000" w:rsidP="00000000" w:rsidRDefault="00000000" w:rsidRPr="00000000" w14:paraId="00000004">
      <w:pPr>
        <w:pStyle w:val="Heading1"/>
        <w:spacing w:after="200" w:before="400" w:lineRule="auto"/>
        <w:rPr>
          <w:rFonts w:ascii="Questrial" w:cs="Questrial" w:eastAsia="Questrial" w:hAnsi="Questrial"/>
          <w:color w:val="1E3A5F"/>
          <w:sz w:val="38"/>
          <w:szCs w:val="38"/>
        </w:rPr>
      </w:pPr>
      <w:r w:rsidDel="00000000" w:rsidR="00000000" w:rsidRPr="00000000">
        <w:rPr>
          <w:rFonts w:ascii="Questrial" w:cs="Questrial" w:eastAsia="Questrial" w:hAnsi="Questrial"/>
          <w:color w:val="1E3A5F"/>
          <w:sz w:val="38"/>
          <w:szCs w:val="38"/>
          <w:rtl w:val="0"/>
        </w:rPr>
        <w:t xml:space="preserve">1. Introducción</w:t>
      </w:r>
    </w:p>
    <w:p w:rsidR="00000000" w:rsidDel="00000000" w:rsidP="00000000" w:rsidRDefault="00000000" w:rsidRPr="00000000" w14:paraId="00000005">
      <w:pPr>
        <w:spacing w:after="150"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Este documento reúne la estimación económica del proyecto (costos de personal, componentes electrónicos y gastos operativos), la ganancia proyectada y la modalidad de inversión propuesta, y una síntesis de los aspectos contractuales y de garantía del proyecto.</w:t>
      </w:r>
    </w:p>
    <w:p w:rsidR="00000000" w:rsidDel="00000000" w:rsidP="00000000" w:rsidRDefault="00000000" w:rsidRPr="00000000" w14:paraId="00000006">
      <w:pPr>
        <w:pStyle w:val="Heading1"/>
        <w:spacing w:after="200" w:before="400" w:lineRule="auto"/>
        <w:rPr>
          <w:rFonts w:ascii="Questrial" w:cs="Questrial" w:eastAsia="Questrial" w:hAnsi="Questrial"/>
          <w:color w:val="1E3A5F"/>
          <w:sz w:val="38"/>
          <w:szCs w:val="38"/>
        </w:rPr>
      </w:pPr>
      <w:r w:rsidDel="00000000" w:rsidR="00000000" w:rsidRPr="00000000">
        <w:rPr>
          <w:rtl w:val="0"/>
        </w:rPr>
      </w:r>
    </w:p>
    <w:p w:rsidR="00000000" w:rsidDel="00000000" w:rsidP="00000000" w:rsidRDefault="00000000" w:rsidRPr="00000000" w14:paraId="00000007">
      <w:pPr>
        <w:pStyle w:val="Heading1"/>
        <w:spacing w:after="200" w:before="400" w:lineRule="auto"/>
        <w:rPr>
          <w:rFonts w:ascii="Questrial" w:cs="Questrial" w:eastAsia="Questrial" w:hAnsi="Questrial"/>
          <w:color w:val="1E3A5F"/>
          <w:sz w:val="38"/>
          <w:szCs w:val="38"/>
        </w:rPr>
      </w:pPr>
      <w:r w:rsidDel="00000000" w:rsidR="00000000" w:rsidRPr="00000000">
        <w:rPr>
          <w:rFonts w:ascii="Questrial" w:cs="Questrial" w:eastAsia="Questrial" w:hAnsi="Questrial"/>
          <w:color w:val="1E3A5F"/>
          <w:sz w:val="38"/>
          <w:szCs w:val="38"/>
          <w:rtl w:val="0"/>
        </w:rPr>
        <w:t xml:space="preserve">2. Fuentes de la estimación</w:t>
      </w:r>
    </w:p>
    <w:p w:rsidR="00000000" w:rsidDel="00000000" w:rsidP="00000000" w:rsidRDefault="00000000" w:rsidRPr="00000000" w14:paraId="00000008">
      <w:pPr>
        <w:spacing w:after="150"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Los valores surgen de dos fuentes propias del proyecto:</w:t>
      </w:r>
    </w:p>
    <w:p w:rsidR="00000000" w:rsidDel="00000000" w:rsidP="00000000" w:rsidRDefault="00000000" w:rsidRPr="00000000" w14:paraId="0000000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r w:rsidDel="00000000" w:rsidR="00000000" w:rsidRPr="00000000">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Gantt del proyecto: horas estimadas por tarea y responsable asignado.</w:t>
      </w:r>
      <w:r w:rsidDel="00000000" w:rsidR="00000000" w:rsidRPr="00000000">
        <w:rPr>
          <w:rtl w:val="0"/>
        </w:rPr>
      </w:r>
    </w:p>
    <w:p w:rsidR="00000000" w:rsidDel="00000000" w:rsidP="00000000" w:rsidRDefault="00000000" w:rsidRPr="00000000" w14:paraId="0000000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r w:rsidDel="00000000" w:rsidR="00000000" w:rsidRPr="00000000">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Lista de componentes (Control de Trama): precios, cantidades y bloques de compra de la parte electrónica.</w:t>
      </w:r>
      <w:r w:rsidDel="00000000" w:rsidR="00000000" w:rsidRPr="00000000">
        <w:rPr>
          <w:rtl w:val="0"/>
        </w:rPr>
      </w:r>
    </w:p>
    <w:p w:rsidR="00000000" w:rsidDel="00000000" w:rsidP="00000000" w:rsidRDefault="00000000" w:rsidRPr="00000000" w14:paraId="0000000B">
      <w:pPr>
        <w:pStyle w:val="Heading1"/>
        <w:spacing w:after="200" w:before="400" w:lineRule="auto"/>
        <w:rPr>
          <w:rFonts w:ascii="Questrial" w:cs="Questrial" w:eastAsia="Questrial" w:hAnsi="Questrial"/>
          <w:color w:val="1E3A5F"/>
          <w:sz w:val="38"/>
          <w:szCs w:val="38"/>
        </w:rPr>
      </w:pPr>
      <w:r w:rsidDel="00000000" w:rsidR="00000000" w:rsidRPr="00000000">
        <w:rPr>
          <w:rtl w:val="0"/>
        </w:rPr>
      </w:r>
    </w:p>
    <w:p w:rsidR="00000000" w:rsidDel="00000000" w:rsidP="00000000" w:rsidRDefault="00000000" w:rsidRPr="00000000" w14:paraId="0000000C">
      <w:pPr>
        <w:pStyle w:val="Heading1"/>
        <w:spacing w:after="200" w:before="400" w:lineRule="auto"/>
        <w:rPr>
          <w:rFonts w:ascii="Questrial" w:cs="Questrial" w:eastAsia="Questrial" w:hAnsi="Questrial"/>
          <w:color w:val="1E3A5F"/>
          <w:sz w:val="38"/>
          <w:szCs w:val="38"/>
        </w:rPr>
      </w:pPr>
      <w:r w:rsidDel="00000000" w:rsidR="00000000" w:rsidRPr="00000000">
        <w:rPr>
          <w:rFonts w:ascii="Questrial" w:cs="Questrial" w:eastAsia="Questrial" w:hAnsi="Questrial"/>
          <w:color w:val="1E3A5F"/>
          <w:sz w:val="38"/>
          <w:szCs w:val="38"/>
          <w:rtl w:val="0"/>
        </w:rPr>
        <w:t xml:space="preserve">3. Estimación de costos</w:t>
      </w:r>
    </w:p>
    <w:p w:rsidR="00000000" w:rsidDel="00000000" w:rsidP="00000000" w:rsidRDefault="00000000" w:rsidRPr="00000000" w14:paraId="0000000D">
      <w:pPr>
        <w:pStyle w:val="Heading2"/>
        <w:spacing w:after="150" w:before="300" w:lineRule="auto"/>
        <w:rPr>
          <w:rFonts w:ascii="Questrial" w:cs="Questrial" w:eastAsia="Questrial" w:hAnsi="Questrial"/>
          <w:color w:val="1E3A5F"/>
          <w:sz w:val="30"/>
          <w:szCs w:val="30"/>
        </w:rPr>
      </w:pPr>
      <w:r w:rsidDel="00000000" w:rsidR="00000000" w:rsidRPr="00000000">
        <w:rPr>
          <w:rFonts w:ascii="Questrial" w:cs="Questrial" w:eastAsia="Questrial" w:hAnsi="Questrial"/>
          <w:color w:val="1E3A5F"/>
          <w:sz w:val="30"/>
          <w:szCs w:val="30"/>
          <w:rtl w:val="0"/>
        </w:rPr>
        <w:t xml:space="preserve">3.1 Costos de personal</w:t>
      </w:r>
    </w:p>
    <w:p w:rsidR="00000000" w:rsidDel="00000000" w:rsidP="00000000" w:rsidRDefault="00000000" w:rsidRPr="00000000" w14:paraId="0000000E">
      <w:pPr>
        <w:spacing w:after="150"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Las horas de cada integrante surgen de sumar el campo "Estimado" de todas las tareas del Gantt donde figura como responsable (repartiendo la hora en partes iguales cuando hay más de un responsable por tarea). La tarifa por hora es el valor de referencia junior (JR) de la planilla original, convertido a pesos con el tipo de cambio de referencia ($1.525 = 1 USD), más 5% de contingencia por persona.</w:t>
      </w:r>
    </w:p>
    <w:tbl>
      <w:tblPr>
        <w:tblStyle w:val="Table1"/>
        <w:tblW w:w="14885.000000000002"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129"/>
        <w:gridCol w:w="4111"/>
        <w:gridCol w:w="1459"/>
        <w:gridCol w:w="1510"/>
        <w:gridCol w:w="1501"/>
        <w:gridCol w:w="1649"/>
        <w:gridCol w:w="1237"/>
        <w:gridCol w:w="2289"/>
        <w:tblGridChange w:id="0">
          <w:tblGrid>
            <w:gridCol w:w="1129"/>
            <w:gridCol w:w="4111"/>
            <w:gridCol w:w="1459"/>
            <w:gridCol w:w="1510"/>
            <w:gridCol w:w="1501"/>
            <w:gridCol w:w="1649"/>
            <w:gridCol w:w="1237"/>
            <w:gridCol w:w="2289"/>
          </w:tblGrid>
        </w:tblGridChange>
      </w:tblGrid>
      <w:tr>
        <w:trPr>
          <w:cantSplit w:val="0"/>
          <w:trHeight w:val="448" w:hRule="atLeast"/>
          <w:tblHeader w:val="1"/>
        </w:trPr>
        <w:tc>
          <w:tcPr>
            <w:shd w:fill="1E3A5F" w:val="clear"/>
            <w:tcMar>
              <w:top w:w="0.0" w:type="dxa"/>
              <w:bottom w:w="0.0" w:type="dxa"/>
            </w:tcMar>
            <w:vAlign w:val="center"/>
          </w:tcPr>
          <w:p w:rsidR="00000000" w:rsidDel="00000000" w:rsidP="00000000" w:rsidRDefault="00000000" w:rsidRPr="00000000" w14:paraId="0000000F">
            <w:pPr>
              <w:spacing w:after="120" w:before="120" w:line="276" w:lineRule="auto"/>
              <w:jc w:val="center"/>
              <w:rPr>
                <w:rFonts w:ascii="IBM Plex Sans" w:cs="IBM Plex Sans" w:eastAsia="IBM Plex Sans" w:hAnsi="IBM Plex Sans"/>
                <w:sz w:val="28"/>
                <w:szCs w:val="28"/>
              </w:rPr>
            </w:pPr>
            <w:r w:rsidDel="00000000" w:rsidR="00000000" w:rsidRPr="00000000">
              <w:rPr>
                <w:rFonts w:ascii="IBM Plex Sans" w:cs="IBM Plex Sans" w:eastAsia="IBM Plex Sans" w:hAnsi="IBM Plex Sans"/>
                <w:b w:val="1"/>
                <w:bCs w:val="1"/>
                <w:color w:val="ffffff"/>
                <w:sz w:val="28"/>
                <w:szCs w:val="28"/>
                <w:rtl w:val="0"/>
              </w:rPr>
              <w:t xml:space="preserve">Rol</w:t>
            </w:r>
            <w:r w:rsidDel="00000000" w:rsidR="00000000" w:rsidRPr="00000000">
              <w:rPr>
                <w:rtl w:val="0"/>
              </w:rPr>
            </w:r>
          </w:p>
        </w:tc>
        <w:tc>
          <w:tcPr>
            <w:shd w:fill="1E3A5F" w:val="clear"/>
            <w:tcMar>
              <w:top w:w="0.0" w:type="dxa"/>
              <w:bottom w:w="0.0" w:type="dxa"/>
            </w:tcMar>
            <w:vAlign w:val="center"/>
          </w:tcPr>
          <w:p w:rsidR="00000000" w:rsidDel="00000000" w:rsidP="00000000" w:rsidRDefault="00000000" w:rsidRPr="00000000" w14:paraId="00000010">
            <w:pPr>
              <w:spacing w:after="120" w:before="120" w:line="276" w:lineRule="auto"/>
              <w:jc w:val="center"/>
              <w:rPr>
                <w:rFonts w:ascii="IBM Plex Sans" w:cs="IBM Plex Sans" w:eastAsia="IBM Plex Sans" w:hAnsi="IBM Plex Sans"/>
                <w:sz w:val="28"/>
                <w:szCs w:val="28"/>
              </w:rPr>
            </w:pPr>
            <w:r w:rsidDel="00000000" w:rsidR="00000000" w:rsidRPr="00000000">
              <w:rPr>
                <w:rFonts w:ascii="IBM Plex Sans" w:cs="IBM Plex Sans" w:eastAsia="IBM Plex Sans" w:hAnsi="IBM Plex Sans"/>
                <w:b w:val="1"/>
                <w:bCs w:val="1"/>
                <w:color w:val="ffffff"/>
                <w:sz w:val="28"/>
                <w:szCs w:val="28"/>
                <w:rtl w:val="0"/>
              </w:rPr>
              <w:t xml:space="preserve">Integrante</w:t>
            </w:r>
            <w:r w:rsidDel="00000000" w:rsidR="00000000" w:rsidRPr="00000000">
              <w:rPr>
                <w:rtl w:val="0"/>
              </w:rPr>
            </w:r>
          </w:p>
        </w:tc>
        <w:tc>
          <w:tcPr>
            <w:shd w:fill="1E3A5F" w:val="clear"/>
            <w:tcMar>
              <w:top w:w="0.0" w:type="dxa"/>
              <w:bottom w:w="0.0" w:type="dxa"/>
            </w:tcMar>
            <w:vAlign w:val="center"/>
          </w:tcPr>
          <w:p w:rsidR="00000000" w:rsidDel="00000000" w:rsidP="00000000" w:rsidRDefault="00000000" w:rsidRPr="00000000" w14:paraId="00000011">
            <w:pPr>
              <w:spacing w:after="120" w:before="120" w:line="276" w:lineRule="auto"/>
              <w:jc w:val="center"/>
              <w:rPr>
                <w:rFonts w:ascii="IBM Plex Sans" w:cs="IBM Plex Sans" w:eastAsia="IBM Plex Sans" w:hAnsi="IBM Plex Sans"/>
                <w:sz w:val="28"/>
                <w:szCs w:val="28"/>
              </w:rPr>
            </w:pPr>
            <w:r w:rsidDel="00000000" w:rsidR="00000000" w:rsidRPr="00000000">
              <w:rPr>
                <w:rFonts w:ascii="IBM Plex Sans" w:cs="IBM Plex Sans" w:eastAsia="IBM Plex Sans" w:hAnsi="IBM Plex Sans"/>
                <w:b w:val="1"/>
                <w:bCs w:val="1"/>
                <w:color w:val="ffffff"/>
                <w:sz w:val="28"/>
                <w:szCs w:val="28"/>
                <w:rtl w:val="0"/>
              </w:rPr>
              <w:t xml:space="preserve">Hs. estimadas</w:t>
            </w:r>
            <w:r w:rsidDel="00000000" w:rsidR="00000000" w:rsidRPr="00000000">
              <w:rPr>
                <w:rtl w:val="0"/>
              </w:rPr>
            </w:r>
          </w:p>
        </w:tc>
        <w:tc>
          <w:tcPr>
            <w:shd w:fill="1E3A5F" w:val="clear"/>
            <w:tcMar>
              <w:top w:w="0.0" w:type="dxa"/>
              <w:bottom w:w="0.0" w:type="dxa"/>
            </w:tcMar>
            <w:vAlign w:val="center"/>
          </w:tcPr>
          <w:p w:rsidR="00000000" w:rsidDel="00000000" w:rsidP="00000000" w:rsidRDefault="00000000" w:rsidRPr="00000000" w14:paraId="00000012">
            <w:pPr>
              <w:jc w:val="center"/>
              <w:rPr>
                <w:rFonts w:ascii="IBM Plex Sans" w:cs="IBM Plex Sans" w:eastAsia="IBM Plex Sans" w:hAnsi="IBM Plex Sans"/>
                <w:sz w:val="28"/>
                <w:szCs w:val="28"/>
              </w:rPr>
            </w:pPr>
            <w:r w:rsidDel="00000000" w:rsidR="00000000" w:rsidRPr="00000000">
              <w:rPr>
                <w:rFonts w:ascii="IBM Plex Sans" w:cs="IBM Plex Sans" w:eastAsia="IBM Plex Sans" w:hAnsi="IBM Plex Sans"/>
                <w:b w:val="1"/>
                <w:bCs w:val="1"/>
                <w:color w:val="ffffff"/>
                <w:sz w:val="28"/>
                <w:szCs w:val="28"/>
                <w:rtl w:val="0"/>
              </w:rPr>
              <w:t xml:space="preserve">Tarifa/hr (USD)</w:t>
            </w:r>
            <w:r w:rsidDel="00000000" w:rsidR="00000000" w:rsidRPr="00000000">
              <w:rPr>
                <w:rtl w:val="0"/>
              </w:rPr>
            </w:r>
          </w:p>
        </w:tc>
        <w:tc>
          <w:tcPr>
            <w:shd w:fill="1E3A5F" w:val="clear"/>
            <w:tcMar>
              <w:top w:w="0.0" w:type="dxa"/>
              <w:bottom w:w="0.0" w:type="dxa"/>
            </w:tcMar>
            <w:vAlign w:val="center"/>
          </w:tcPr>
          <w:p w:rsidR="00000000" w:rsidDel="00000000" w:rsidP="00000000" w:rsidRDefault="00000000" w:rsidRPr="00000000" w14:paraId="00000013">
            <w:pPr>
              <w:jc w:val="center"/>
              <w:rPr>
                <w:rFonts w:ascii="IBM Plex Sans" w:cs="IBM Plex Sans" w:eastAsia="IBM Plex Sans" w:hAnsi="IBM Plex Sans"/>
                <w:sz w:val="28"/>
                <w:szCs w:val="28"/>
              </w:rPr>
            </w:pPr>
            <w:r w:rsidDel="00000000" w:rsidR="00000000" w:rsidRPr="00000000">
              <w:rPr>
                <w:rFonts w:ascii="IBM Plex Sans" w:cs="IBM Plex Sans" w:eastAsia="IBM Plex Sans" w:hAnsi="IBM Plex Sans"/>
                <w:b w:val="1"/>
                <w:bCs w:val="1"/>
                <w:color w:val="ffffff"/>
                <w:sz w:val="28"/>
                <w:szCs w:val="28"/>
                <w:rtl w:val="0"/>
              </w:rPr>
              <w:t xml:space="preserve">T. cambio</w:t>
            </w:r>
            <w:r w:rsidDel="00000000" w:rsidR="00000000" w:rsidRPr="00000000">
              <w:rPr>
                <w:rtl w:val="0"/>
              </w:rPr>
            </w:r>
          </w:p>
        </w:tc>
        <w:tc>
          <w:tcPr>
            <w:shd w:fill="1E3A5F" w:val="clear"/>
            <w:tcMar>
              <w:top w:w="0.0" w:type="dxa"/>
              <w:bottom w:w="0.0" w:type="dxa"/>
            </w:tcMar>
            <w:vAlign w:val="center"/>
          </w:tcPr>
          <w:p w:rsidR="00000000" w:rsidDel="00000000" w:rsidP="00000000" w:rsidRDefault="00000000" w:rsidRPr="00000000" w14:paraId="00000014">
            <w:pPr>
              <w:jc w:val="center"/>
              <w:rPr>
                <w:rFonts w:ascii="IBM Plex Sans" w:cs="IBM Plex Sans" w:eastAsia="IBM Plex Sans" w:hAnsi="IBM Plex Sans"/>
                <w:sz w:val="28"/>
                <w:szCs w:val="28"/>
              </w:rPr>
            </w:pPr>
            <w:r w:rsidDel="00000000" w:rsidR="00000000" w:rsidRPr="00000000">
              <w:rPr>
                <w:rFonts w:ascii="IBM Plex Sans" w:cs="IBM Plex Sans" w:eastAsia="IBM Plex Sans" w:hAnsi="IBM Plex Sans"/>
                <w:b w:val="1"/>
                <w:bCs w:val="1"/>
                <w:color w:val="ffffff"/>
                <w:sz w:val="28"/>
                <w:szCs w:val="28"/>
                <w:rtl w:val="0"/>
              </w:rPr>
              <w:t xml:space="preserve">Tarifa/hr (ARS)</w:t>
            </w:r>
            <w:r w:rsidDel="00000000" w:rsidR="00000000" w:rsidRPr="00000000">
              <w:rPr>
                <w:rtl w:val="0"/>
              </w:rPr>
            </w:r>
          </w:p>
        </w:tc>
        <w:tc>
          <w:tcPr>
            <w:shd w:fill="1E3A5F" w:val="clear"/>
            <w:tcMar>
              <w:top w:w="0.0" w:type="dxa"/>
              <w:bottom w:w="0.0" w:type="dxa"/>
            </w:tcMar>
            <w:vAlign w:val="center"/>
          </w:tcPr>
          <w:p w:rsidR="00000000" w:rsidDel="00000000" w:rsidP="00000000" w:rsidRDefault="00000000" w:rsidRPr="00000000" w14:paraId="00000015">
            <w:pPr>
              <w:jc w:val="center"/>
              <w:rPr>
                <w:rFonts w:ascii="IBM Plex Sans" w:cs="IBM Plex Sans" w:eastAsia="IBM Plex Sans" w:hAnsi="IBM Plex Sans"/>
                <w:sz w:val="28"/>
                <w:szCs w:val="28"/>
              </w:rPr>
            </w:pPr>
            <w:r w:rsidDel="00000000" w:rsidR="00000000" w:rsidRPr="00000000">
              <w:rPr>
                <w:rFonts w:ascii="IBM Plex Sans" w:cs="IBM Plex Sans" w:eastAsia="IBM Plex Sans" w:hAnsi="IBM Plex Sans"/>
                <w:b w:val="1"/>
                <w:bCs w:val="1"/>
                <w:color w:val="ffffff"/>
                <w:sz w:val="28"/>
                <w:szCs w:val="28"/>
                <w:rtl w:val="0"/>
              </w:rPr>
              <w:t xml:space="preserve">Continge.</w:t>
            </w:r>
            <w:r w:rsidDel="00000000" w:rsidR="00000000" w:rsidRPr="00000000">
              <w:rPr>
                <w:rtl w:val="0"/>
              </w:rPr>
            </w:r>
          </w:p>
        </w:tc>
        <w:tc>
          <w:tcPr>
            <w:shd w:fill="1E3A5F" w:val="clear"/>
            <w:tcMar>
              <w:top w:w="0.0" w:type="dxa"/>
              <w:bottom w:w="0.0" w:type="dxa"/>
            </w:tcMar>
            <w:vAlign w:val="center"/>
          </w:tcPr>
          <w:p w:rsidR="00000000" w:rsidDel="00000000" w:rsidP="00000000" w:rsidRDefault="00000000" w:rsidRPr="00000000" w14:paraId="00000016">
            <w:pPr>
              <w:jc w:val="center"/>
              <w:rPr>
                <w:rFonts w:ascii="IBM Plex Sans" w:cs="IBM Plex Sans" w:eastAsia="IBM Plex Sans" w:hAnsi="IBM Plex Sans"/>
                <w:sz w:val="28"/>
                <w:szCs w:val="28"/>
              </w:rPr>
            </w:pPr>
            <w:r w:rsidDel="00000000" w:rsidR="00000000" w:rsidRPr="00000000">
              <w:rPr>
                <w:rFonts w:ascii="IBM Plex Sans" w:cs="IBM Plex Sans" w:eastAsia="IBM Plex Sans" w:hAnsi="IBM Plex Sans"/>
                <w:b w:val="1"/>
                <w:bCs w:val="1"/>
                <w:color w:val="ffffff"/>
                <w:sz w:val="28"/>
                <w:szCs w:val="28"/>
                <w:rtl w:val="0"/>
              </w:rPr>
              <w:t xml:space="preserve">Subtotal (ARS)</w:t>
            </w:r>
            <w:r w:rsidDel="00000000" w:rsidR="00000000" w:rsidRPr="00000000">
              <w:rPr>
                <w:rtl w:val="0"/>
              </w:rPr>
            </w:r>
          </w:p>
        </w:tc>
      </w:tr>
      <w:tr>
        <w:trPr>
          <w:cantSplit w:val="0"/>
          <w:trHeight w:val="214" w:hRule="atLeast"/>
          <w:tblHeader w:val="0"/>
        </w:trPr>
        <w:tc>
          <w:tcPr>
            <w:tcMar>
              <w:top w:w="0.0" w:type="dxa"/>
              <w:bottom w:w="0.0" w:type="dxa"/>
            </w:tcMar>
            <w:vAlign w:val="center"/>
          </w:tcPr>
          <w:p w:rsidR="00000000" w:rsidDel="00000000" w:rsidP="00000000" w:rsidRDefault="00000000" w:rsidRPr="00000000" w14:paraId="00000017">
            <w:pPr>
              <w:spacing w:after="120" w:before="120" w:line="276"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PM</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18">
            <w:pPr>
              <w:spacing w:after="120" w:before="120" w:line="276"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Manfredo Juan Ignacio (Project Manager)</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19">
            <w:pPr>
              <w:spacing w:after="120" w:before="120" w:line="276" w:lineRule="auto"/>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102,08</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1A">
            <w:pPr>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30</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1B">
            <w:pPr>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1.525</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1C">
            <w:pPr>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45.750</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1D">
            <w:pPr>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5%</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1E">
            <w:pPr>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$4.903.828</w:t>
            </w:r>
            <w:r w:rsidDel="00000000" w:rsidR="00000000" w:rsidRPr="00000000">
              <w:rPr>
                <w:rtl w:val="0"/>
              </w:rPr>
            </w:r>
          </w:p>
        </w:tc>
      </w:tr>
      <w:tr>
        <w:trPr>
          <w:cantSplit w:val="0"/>
          <w:trHeight w:val="214" w:hRule="atLeast"/>
          <w:tblHeader w:val="0"/>
        </w:trPr>
        <w:tc>
          <w:tcPr>
            <w:tcMar>
              <w:top w:w="0.0" w:type="dxa"/>
              <w:bottom w:w="0.0" w:type="dxa"/>
            </w:tcMar>
            <w:vAlign w:val="center"/>
          </w:tcPr>
          <w:p w:rsidR="00000000" w:rsidDel="00000000" w:rsidP="00000000" w:rsidRDefault="00000000" w:rsidRPr="00000000" w14:paraId="0000001F">
            <w:pPr>
              <w:spacing w:after="120" w:before="120" w:line="276"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D01</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20">
            <w:pPr>
              <w:spacing w:after="120" w:before="120" w:line="276"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Desarrollador 01 - Back End</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21">
            <w:pPr>
              <w:spacing w:after="120" w:before="120" w:line="276" w:lineRule="auto"/>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39,40</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22">
            <w:pPr>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34</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23">
            <w:pPr>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1.525</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24">
            <w:pPr>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51.850</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25">
            <w:pPr>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5%</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26">
            <w:pPr>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$2.145.035</w:t>
            </w:r>
            <w:r w:rsidDel="00000000" w:rsidR="00000000" w:rsidRPr="00000000">
              <w:rPr>
                <w:rtl w:val="0"/>
              </w:rPr>
            </w:r>
          </w:p>
        </w:tc>
      </w:tr>
      <w:tr>
        <w:trPr>
          <w:cantSplit w:val="0"/>
          <w:trHeight w:val="70" w:hRule="atLeast"/>
          <w:tblHeader w:val="0"/>
        </w:trPr>
        <w:tc>
          <w:tcPr>
            <w:tcMar>
              <w:top w:w="0.0" w:type="dxa"/>
              <w:bottom w:w="0.0" w:type="dxa"/>
            </w:tcMar>
            <w:vAlign w:val="center"/>
          </w:tcPr>
          <w:p w:rsidR="00000000" w:rsidDel="00000000" w:rsidP="00000000" w:rsidRDefault="00000000" w:rsidRPr="00000000" w14:paraId="00000027">
            <w:pPr>
              <w:spacing w:after="120" w:before="120" w:line="276"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D02</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28">
            <w:pPr>
              <w:spacing w:after="120" w:before="120" w:line="276"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Iannone Mia (Desarrollador 02 - Front End)</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29">
            <w:pPr>
              <w:spacing w:after="120" w:before="120" w:line="276" w:lineRule="auto"/>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60,82</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2A">
            <w:pPr>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34</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2B">
            <w:pPr>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1.525</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2C">
            <w:pPr>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51.850</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2D">
            <w:pPr>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5%</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2E">
            <w:pPr>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$3.311.011</w:t>
            </w:r>
            <w:r w:rsidDel="00000000" w:rsidR="00000000" w:rsidRPr="00000000">
              <w:rPr>
                <w:rtl w:val="0"/>
              </w:rPr>
            </w:r>
          </w:p>
        </w:tc>
      </w:tr>
      <w:tr>
        <w:trPr>
          <w:cantSplit w:val="0"/>
          <w:trHeight w:val="429" w:hRule="atLeast"/>
          <w:tblHeader w:val="0"/>
        </w:trPr>
        <w:tc>
          <w:tcPr>
            <w:tcMar>
              <w:top w:w="0.0" w:type="dxa"/>
              <w:bottom w:w="0.0" w:type="dxa"/>
            </w:tcMar>
            <w:vAlign w:val="center"/>
          </w:tcPr>
          <w:p w:rsidR="00000000" w:rsidDel="00000000" w:rsidP="00000000" w:rsidRDefault="00000000" w:rsidRPr="00000000" w14:paraId="0000002F">
            <w:pPr>
              <w:spacing w:after="120" w:before="120" w:line="276"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IM01</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30">
            <w:pPr>
              <w:spacing w:after="120" w:before="120" w:line="276"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Lede Buschiazzo Lautaro (Infra. de MCU 01)</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31">
            <w:pPr>
              <w:spacing w:after="120" w:before="120" w:line="276" w:lineRule="auto"/>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76,50</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32">
            <w:pPr>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32</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33">
            <w:pPr>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1.525</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34">
            <w:pPr>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48.800</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35">
            <w:pPr>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5%</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36">
            <w:pPr>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$3.919.860</w:t>
            </w:r>
            <w:r w:rsidDel="00000000" w:rsidR="00000000" w:rsidRPr="00000000">
              <w:rPr>
                <w:rtl w:val="0"/>
              </w:rPr>
            </w:r>
          </w:p>
        </w:tc>
      </w:tr>
      <w:tr>
        <w:trPr>
          <w:cantSplit w:val="0"/>
          <w:trHeight w:val="214" w:hRule="atLeast"/>
          <w:tblHeader w:val="0"/>
        </w:trPr>
        <w:tc>
          <w:tcPr>
            <w:tcMar>
              <w:top w:w="0.0" w:type="dxa"/>
              <w:bottom w:w="0.0" w:type="dxa"/>
            </w:tcMar>
            <w:vAlign w:val="center"/>
          </w:tcPr>
          <w:p w:rsidR="00000000" w:rsidDel="00000000" w:rsidP="00000000" w:rsidRDefault="00000000" w:rsidRPr="00000000" w14:paraId="00000037">
            <w:pPr>
              <w:spacing w:after="120" w:before="120" w:line="276"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IM02</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38">
            <w:pPr>
              <w:spacing w:after="120" w:before="120" w:line="276"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Ferrando Jaco (Infra. de MCU 02)</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39">
            <w:pPr>
              <w:spacing w:after="120" w:before="120" w:line="276" w:lineRule="auto"/>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39,23</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3A">
            <w:pPr>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32</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3B">
            <w:pPr>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1.525</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3C">
            <w:pPr>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48.800</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3D">
            <w:pPr>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5%</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3E">
            <w:pPr>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$2.010.316</w:t>
            </w:r>
            <w:r w:rsidDel="00000000" w:rsidR="00000000" w:rsidRPr="00000000">
              <w:rPr>
                <w:rtl w:val="0"/>
              </w:rPr>
            </w:r>
          </w:p>
        </w:tc>
      </w:tr>
      <w:tr>
        <w:trPr>
          <w:cantSplit w:val="0"/>
          <w:trHeight w:val="234" w:hRule="atLeast"/>
          <w:tblHeader w:val="0"/>
        </w:trPr>
        <w:tc>
          <w:tcPr>
            <w:tcMar>
              <w:top w:w="0.0" w:type="dxa"/>
              <w:bottom w:w="0.0" w:type="dxa"/>
            </w:tcMar>
            <w:vAlign w:val="center"/>
          </w:tcPr>
          <w:p w:rsidR="00000000" w:rsidDel="00000000" w:rsidP="00000000" w:rsidRDefault="00000000" w:rsidRPr="00000000" w14:paraId="0000003F">
            <w:pPr>
              <w:spacing w:after="120" w:before="120" w:line="276"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IR</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40">
            <w:pPr>
              <w:spacing w:after="120" w:before="120" w:line="276"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Montenegro Franco (Infra. de Red)</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41">
            <w:pPr>
              <w:spacing w:after="120" w:before="120" w:line="276" w:lineRule="auto"/>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46,47</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42">
            <w:pPr>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32</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43">
            <w:pPr>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1.525</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44">
            <w:pPr>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48.800</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45">
            <w:pPr>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5%</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46">
            <w:pPr>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$2.380.952</w:t>
            </w:r>
            <w:r w:rsidDel="00000000" w:rsidR="00000000" w:rsidRPr="00000000">
              <w:rPr>
                <w:rtl w:val="0"/>
              </w:rPr>
            </w:r>
          </w:p>
        </w:tc>
      </w:tr>
      <w:tr>
        <w:trPr>
          <w:cantSplit w:val="0"/>
          <w:trHeight w:val="214" w:hRule="atLeast"/>
          <w:tblHeader w:val="0"/>
        </w:trPr>
        <w:tc>
          <w:tcPr>
            <w:tcMar>
              <w:top w:w="0.0" w:type="dxa"/>
              <w:bottom w:w="0.0" w:type="dxa"/>
            </w:tcMar>
            <w:vAlign w:val="center"/>
          </w:tcPr>
          <w:p w:rsidR="00000000" w:rsidDel="00000000" w:rsidP="00000000" w:rsidRDefault="00000000" w:rsidRPr="00000000" w14:paraId="00000047">
            <w:pPr>
              <w:spacing w:after="120" w:before="120" w:line="276"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BD</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48">
            <w:pPr>
              <w:spacing w:after="120" w:before="120" w:line="276"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Administrador de BD</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49">
            <w:pPr>
              <w:spacing w:after="120" w:before="120" w:line="276" w:lineRule="auto"/>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12,07</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4A">
            <w:pPr>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32</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4B">
            <w:pPr>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1.525</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4C">
            <w:pPr>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48.800</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4D">
            <w:pPr>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5%</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4E">
            <w:pPr>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$618.296</w:t>
            </w:r>
            <w:r w:rsidDel="00000000" w:rsidR="00000000" w:rsidRPr="00000000">
              <w:rPr>
                <w:rtl w:val="0"/>
              </w:rPr>
            </w:r>
          </w:p>
        </w:tc>
      </w:tr>
      <w:tr>
        <w:trPr>
          <w:cantSplit w:val="0"/>
          <w:trHeight w:val="214" w:hRule="atLeast"/>
          <w:tblHeader w:val="0"/>
        </w:trPr>
        <w:tc>
          <w:tcPr>
            <w:tcMar>
              <w:top w:w="0.0" w:type="dxa"/>
              <w:bottom w:w="0.0" w:type="dxa"/>
            </w:tcMar>
            <w:vAlign w:val="center"/>
          </w:tcPr>
          <w:p w:rsidR="00000000" w:rsidDel="00000000" w:rsidP="00000000" w:rsidRDefault="00000000" w:rsidRPr="00000000" w14:paraId="0000004F">
            <w:pPr>
              <w:spacing w:after="120" w:before="120" w:line="276"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DUX</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50">
            <w:pPr>
              <w:spacing w:after="120" w:before="120" w:line="276"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Diseñador UX/UI (Jaco / landing)</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51">
            <w:pPr>
              <w:spacing w:after="120" w:before="120" w:line="276" w:lineRule="auto"/>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77,03</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52">
            <w:pPr>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27</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53">
            <w:pPr>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1.525</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54">
            <w:pPr>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41.175</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55">
            <w:pPr>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5%</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56">
            <w:pPr>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$3.330.440</w:t>
            </w:r>
            <w:r w:rsidDel="00000000" w:rsidR="00000000" w:rsidRPr="00000000">
              <w:rPr>
                <w:rtl w:val="0"/>
              </w:rPr>
            </w:r>
          </w:p>
        </w:tc>
      </w:tr>
      <w:tr>
        <w:trPr>
          <w:cantSplit w:val="0"/>
          <w:trHeight w:val="214" w:hRule="atLeast"/>
          <w:tblHeader w:val="0"/>
        </w:trPr>
        <w:tc>
          <w:tcPr>
            <w:tcMar>
              <w:top w:w="0.0" w:type="dxa"/>
              <w:bottom w:w="0.0" w:type="dxa"/>
            </w:tcMar>
            <w:vAlign w:val="center"/>
          </w:tcPr>
          <w:p w:rsidR="00000000" w:rsidDel="00000000" w:rsidP="00000000" w:rsidRDefault="00000000" w:rsidRPr="00000000" w14:paraId="00000057">
            <w:pPr>
              <w:spacing w:after="120" w:before="120" w:line="276"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ELE *</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58">
            <w:pPr>
              <w:spacing w:after="120" w:before="120" w:line="276"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Zamora Nahuel (Electrónica)</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59">
            <w:pPr>
              <w:spacing w:after="120" w:before="120" w:line="276" w:lineRule="auto"/>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30,98</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5A">
            <w:pPr>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32</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5B">
            <w:pPr>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1.525</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5C">
            <w:pPr>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48.800</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5D">
            <w:pPr>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5%</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5E">
            <w:pPr>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$1.587.586</w:t>
            </w:r>
            <w:r w:rsidDel="00000000" w:rsidR="00000000" w:rsidRPr="00000000">
              <w:rPr>
                <w:rtl w:val="0"/>
              </w:rPr>
            </w:r>
          </w:p>
        </w:tc>
      </w:tr>
      <w:tr>
        <w:trPr>
          <w:cantSplit w:val="0"/>
          <w:trHeight w:val="214" w:hRule="atLeast"/>
          <w:tblHeader w:val="0"/>
        </w:trPr>
        <w:tc>
          <w:tcPr>
            <w:tcMar>
              <w:top w:w="0.0" w:type="dxa"/>
              <w:bottom w:w="0.0" w:type="dxa"/>
            </w:tcMar>
            <w:vAlign w:val="center"/>
          </w:tcPr>
          <w:p w:rsidR="00000000" w:rsidDel="00000000" w:rsidP="00000000" w:rsidRDefault="00000000" w:rsidRPr="00000000" w14:paraId="0000005F">
            <w:pPr>
              <w:spacing w:after="120" w:before="120" w:line="276"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MUL *</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60">
            <w:pPr>
              <w:spacing w:after="120" w:before="120" w:line="276"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Funes Muriel (Multimedios)</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61">
            <w:pPr>
              <w:spacing w:after="120" w:before="120" w:line="276" w:lineRule="auto"/>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7,42</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62">
            <w:pPr>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27</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63">
            <w:pPr>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1.525</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64">
            <w:pPr>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41.175</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65">
            <w:pPr>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5%</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66">
            <w:pPr>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$320.650</w:t>
            </w:r>
            <w:r w:rsidDel="00000000" w:rsidR="00000000" w:rsidRPr="00000000">
              <w:rPr>
                <w:rtl w:val="0"/>
              </w:rPr>
            </w:r>
          </w:p>
        </w:tc>
      </w:tr>
      <w:tr>
        <w:trPr>
          <w:cantSplit w:val="0"/>
          <w:trHeight w:val="293" w:hRule="atLeast"/>
          <w:tblHeader w:val="0"/>
        </w:trPr>
        <w:tc>
          <w:tcPr>
            <w:gridSpan w:val="7"/>
            <w:shd w:fill="DCE7F0" w:val="clear"/>
            <w:tcMar>
              <w:top w:w="0.0" w:type="dxa"/>
              <w:bottom w:w="0.0" w:type="dxa"/>
            </w:tcMar>
          </w:tcPr>
          <w:p w:rsidR="00000000" w:rsidDel="00000000" w:rsidP="00000000" w:rsidRDefault="00000000" w:rsidRPr="00000000" w14:paraId="00000067">
            <w:pPr>
              <w:spacing w:after="120" w:before="120" w:line="276"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b w:val="1"/>
                <w:bCs w:val="1"/>
                <w:sz w:val="24"/>
                <w:szCs w:val="24"/>
                <w:rtl w:val="0"/>
              </w:rPr>
              <w:t xml:space="preserve">SUBTOTAL COSTOS DE PERSONAL</w:t>
            </w:r>
            <w:r w:rsidDel="00000000" w:rsidR="00000000" w:rsidRPr="00000000">
              <w:rPr>
                <w:rtl w:val="0"/>
              </w:rPr>
            </w:r>
          </w:p>
        </w:tc>
        <w:tc>
          <w:tcPr>
            <w:shd w:fill="DCE7F0" w:val="clear"/>
            <w:tcMar>
              <w:top w:w="0.0" w:type="dxa"/>
              <w:bottom w:w="0.0" w:type="dxa"/>
            </w:tcMar>
            <w:vAlign w:val="center"/>
          </w:tcPr>
          <w:p w:rsidR="00000000" w:rsidDel="00000000" w:rsidP="00000000" w:rsidRDefault="00000000" w:rsidRPr="00000000" w14:paraId="0000006E">
            <w:pPr>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b w:val="1"/>
                <w:bCs w:val="1"/>
                <w:color w:val="000000"/>
                <w:sz w:val="24"/>
                <w:szCs w:val="24"/>
                <w:rtl w:val="0"/>
              </w:rPr>
              <w:t xml:space="preserve">$24.527.996</w:t>
            </w:r>
            <w:r w:rsidDel="00000000" w:rsidR="00000000" w:rsidRPr="00000000">
              <w:rPr>
                <w:rtl w:val="0"/>
              </w:rPr>
            </w:r>
          </w:p>
        </w:tc>
      </w:tr>
    </w:tbl>
    <w:p w:rsidR="00000000" w:rsidDel="00000000" w:rsidP="00000000" w:rsidRDefault="00000000" w:rsidRPr="00000000" w14:paraId="0000006F">
      <w:pPr>
        <w:pStyle w:val="Heading2"/>
        <w:spacing w:after="150" w:before="300" w:lineRule="auto"/>
        <w:rPr>
          <w:rFonts w:ascii="Questrial" w:cs="Questrial" w:eastAsia="Questrial" w:hAnsi="Questrial"/>
          <w:sz w:val="28"/>
          <w:szCs w:val="28"/>
        </w:rPr>
      </w:pPr>
      <w:r w:rsidDel="00000000" w:rsidR="00000000" w:rsidRPr="00000000">
        <w:rPr>
          <w:rtl w:val="0"/>
        </w:rPr>
      </w:r>
    </w:p>
    <w:p w:rsidR="00000000" w:rsidDel="00000000" w:rsidP="00000000" w:rsidRDefault="00000000" w:rsidRPr="00000000" w14:paraId="00000070">
      <w:pPr>
        <w:pStyle w:val="Heading2"/>
        <w:spacing w:after="150" w:before="300" w:lineRule="auto"/>
        <w:rPr>
          <w:rFonts w:ascii="Questrial" w:cs="Questrial" w:eastAsia="Questrial" w:hAnsi="Questrial"/>
          <w:color w:val="1E3A5F"/>
          <w:sz w:val="30"/>
          <w:szCs w:val="30"/>
        </w:rPr>
      </w:pPr>
      <w:r w:rsidDel="00000000" w:rsidR="00000000" w:rsidRPr="00000000">
        <w:rPr>
          <w:rFonts w:ascii="Questrial" w:cs="Questrial" w:eastAsia="Questrial" w:hAnsi="Questrial"/>
          <w:color w:val="1E3A5F"/>
          <w:sz w:val="30"/>
          <w:szCs w:val="30"/>
          <w:rtl w:val="0"/>
        </w:rPr>
        <w:t xml:space="preserve">3.2 Costos de componentes electrónicos</w:t>
      </w:r>
    </w:p>
    <w:p w:rsidR="00000000" w:rsidDel="00000000" w:rsidP="00000000" w:rsidRDefault="00000000" w:rsidRPr="00000000" w14:paraId="00000071">
      <w:pPr>
        <w:spacing w:after="150"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Corresponde al presupuesto de componentes ya relevado, agrupado en los mismos 4 bloques de compra.</w:t>
      </w:r>
    </w:p>
    <w:p w:rsidR="00000000" w:rsidDel="00000000" w:rsidP="00000000" w:rsidRDefault="00000000" w:rsidRPr="00000000" w14:paraId="00000072">
      <w:pPr>
        <w:spacing w:after="150" w:lineRule="auto"/>
        <w:jc w:val="both"/>
        <w:rPr>
          <w:rFonts w:ascii="IBM Plex Sans" w:cs="IBM Plex Sans" w:eastAsia="IBM Plex Sans" w:hAnsi="IBM Plex Sans"/>
          <w:sz w:val="24"/>
          <w:szCs w:val="24"/>
        </w:rPr>
      </w:pPr>
      <w:sdt>
        <w:sdtPr>
          <w:id w:val="663124119"/>
          <w:tag w:val="goog_rdk_0"/>
        </w:sdtPr>
        <w:sdtContent>
          <w:r w:rsidDel="00000000" w:rsidR="00000000" w:rsidRPr="00000000">
            <w:rPr>
              <w:rFonts w:ascii="IBM Plex Sans" w:cs="IBM Plex Sans" w:eastAsia="IBM Plex Sans" w:hAnsi="IBM Plex Sans"/>
              <w:sz w:val="24"/>
              <w:szCs w:val="24"/>
              <w:rtl w:val="0"/>
            </w:rPr>
            <w:t xml:space="preserve">⚠ Actualización 19-24/08/26: se confirmó el modelo real del telar (Vamatex C201) y su botonera (24V AC, medida en la máquina). El alcance del Bloque A se mantiene en 3 relés (Marcha, Pausa, Retroceder) y se le sumó el sensado de esos mismos tres botones mediante optoacopladores, para que la web detecte cuándo se los usa a mano en la máquina. La alimentación del sistema es una fuente propia HLK-5M05 (220V→5V), independiente del telar. El (pasó a ser medición/test sin costo (instrumental prestado)). Con el gabinete, prensacables y borneras ya cargados como costo real, el subtotal de componentes quedó en $90.866.</w:t>
          </w:r>
        </w:sdtContent>
      </w:sdt>
    </w:p>
    <w:tbl>
      <w:tblPr>
        <w:tblStyle w:val="Table2"/>
        <w:tblW w:w="1500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024"/>
        <w:gridCol w:w="4621"/>
        <w:gridCol w:w="6046"/>
        <w:gridCol w:w="2315"/>
        <w:tblGridChange w:id="0">
          <w:tblGrid>
            <w:gridCol w:w="2024"/>
            <w:gridCol w:w="4621"/>
            <w:gridCol w:w="6046"/>
            <w:gridCol w:w="2315"/>
          </w:tblGrid>
        </w:tblGridChange>
      </w:tblGrid>
      <w:tr>
        <w:trPr>
          <w:cantSplit w:val="0"/>
          <w:trHeight w:val="234" w:hRule="atLeast"/>
          <w:tblHeader w:val="1"/>
        </w:trPr>
        <w:tc>
          <w:tcPr>
            <w:shd w:fill="1E3A5F" w:val="clear"/>
            <w:tcMar>
              <w:top w:w="0.0" w:type="dxa"/>
              <w:bottom w:w="0.0" w:type="dxa"/>
            </w:tcMar>
            <w:vAlign w:val="center"/>
          </w:tcPr>
          <w:p w:rsidR="00000000" w:rsidDel="00000000" w:rsidP="00000000" w:rsidRDefault="00000000" w:rsidRPr="00000000" w14:paraId="00000073">
            <w:pPr>
              <w:spacing w:after="120" w:before="120" w:line="276" w:lineRule="auto"/>
              <w:jc w:val="center"/>
              <w:rPr>
                <w:rFonts w:ascii="IBM Plex Sans" w:cs="IBM Plex Sans" w:eastAsia="IBM Plex Sans" w:hAnsi="IBM Plex Sans"/>
                <w:sz w:val="28"/>
                <w:szCs w:val="28"/>
              </w:rPr>
            </w:pPr>
            <w:r w:rsidDel="00000000" w:rsidR="00000000" w:rsidRPr="00000000">
              <w:rPr>
                <w:rFonts w:ascii="IBM Plex Sans" w:cs="IBM Plex Sans" w:eastAsia="IBM Plex Sans" w:hAnsi="IBM Plex Sans"/>
                <w:b w:val="1"/>
                <w:bCs w:val="1"/>
                <w:color w:val="ffffff"/>
                <w:sz w:val="28"/>
                <w:szCs w:val="28"/>
                <w:rtl w:val="0"/>
              </w:rPr>
              <w:t xml:space="preserve">Bloque</w:t>
            </w:r>
            <w:r w:rsidDel="00000000" w:rsidR="00000000" w:rsidRPr="00000000">
              <w:rPr>
                <w:rtl w:val="0"/>
              </w:rPr>
            </w:r>
          </w:p>
        </w:tc>
        <w:tc>
          <w:tcPr>
            <w:shd w:fill="1E3A5F" w:val="clear"/>
            <w:tcMar>
              <w:top w:w="0.0" w:type="dxa"/>
              <w:bottom w:w="0.0" w:type="dxa"/>
            </w:tcMar>
            <w:vAlign w:val="center"/>
          </w:tcPr>
          <w:p w:rsidR="00000000" w:rsidDel="00000000" w:rsidP="00000000" w:rsidRDefault="00000000" w:rsidRPr="00000000" w14:paraId="00000074">
            <w:pPr>
              <w:spacing w:after="120" w:before="120" w:line="276" w:lineRule="auto"/>
              <w:jc w:val="center"/>
              <w:rPr>
                <w:rFonts w:ascii="IBM Plex Sans" w:cs="IBM Plex Sans" w:eastAsia="IBM Plex Sans" w:hAnsi="IBM Plex Sans"/>
                <w:sz w:val="28"/>
                <w:szCs w:val="28"/>
              </w:rPr>
            </w:pPr>
            <w:r w:rsidDel="00000000" w:rsidR="00000000" w:rsidRPr="00000000">
              <w:rPr>
                <w:rFonts w:ascii="IBM Plex Sans" w:cs="IBM Plex Sans" w:eastAsia="IBM Plex Sans" w:hAnsi="IBM Plex Sans"/>
                <w:b w:val="1"/>
                <w:bCs w:val="1"/>
                <w:color w:val="ffffff"/>
                <w:sz w:val="28"/>
                <w:szCs w:val="28"/>
                <w:rtl w:val="0"/>
              </w:rPr>
              <w:t xml:space="preserve">Descripción</w:t>
            </w:r>
            <w:r w:rsidDel="00000000" w:rsidR="00000000" w:rsidRPr="00000000">
              <w:rPr>
                <w:rtl w:val="0"/>
              </w:rPr>
            </w:r>
          </w:p>
        </w:tc>
        <w:tc>
          <w:tcPr>
            <w:shd w:fill="1E3A5F" w:val="clear"/>
            <w:tcMar>
              <w:top w:w="0.0" w:type="dxa"/>
              <w:bottom w:w="0.0" w:type="dxa"/>
            </w:tcMar>
            <w:vAlign w:val="center"/>
          </w:tcPr>
          <w:p w:rsidR="00000000" w:rsidDel="00000000" w:rsidP="00000000" w:rsidRDefault="00000000" w:rsidRPr="00000000" w14:paraId="00000075">
            <w:pPr>
              <w:spacing w:after="120" w:before="120" w:line="276" w:lineRule="auto"/>
              <w:jc w:val="center"/>
              <w:rPr>
                <w:rFonts w:ascii="IBM Plex Sans" w:cs="IBM Plex Sans" w:eastAsia="IBM Plex Sans" w:hAnsi="IBM Plex Sans"/>
                <w:sz w:val="28"/>
                <w:szCs w:val="28"/>
              </w:rPr>
            </w:pPr>
            <w:r w:rsidDel="00000000" w:rsidR="00000000" w:rsidRPr="00000000">
              <w:rPr>
                <w:rFonts w:ascii="IBM Plex Sans" w:cs="IBM Plex Sans" w:eastAsia="IBM Plex Sans" w:hAnsi="IBM Plex Sans"/>
                <w:b w:val="1"/>
                <w:bCs w:val="1"/>
                <w:color w:val="ffffff"/>
                <w:sz w:val="28"/>
                <w:szCs w:val="28"/>
                <w:rtl w:val="0"/>
              </w:rPr>
              <w:t xml:space="preserve">Momento de compra</w:t>
            </w:r>
            <w:r w:rsidDel="00000000" w:rsidR="00000000" w:rsidRPr="00000000">
              <w:rPr>
                <w:rtl w:val="0"/>
              </w:rPr>
            </w:r>
          </w:p>
        </w:tc>
        <w:tc>
          <w:tcPr>
            <w:shd w:fill="1E3A5F" w:val="clear"/>
            <w:tcMar>
              <w:top w:w="0.0" w:type="dxa"/>
              <w:bottom w:w="0.0" w:type="dxa"/>
            </w:tcMar>
            <w:vAlign w:val="center"/>
          </w:tcPr>
          <w:p w:rsidR="00000000" w:rsidDel="00000000" w:rsidP="00000000" w:rsidRDefault="00000000" w:rsidRPr="00000000" w14:paraId="00000076">
            <w:pPr>
              <w:spacing w:after="120" w:before="120" w:line="276" w:lineRule="auto"/>
              <w:jc w:val="center"/>
              <w:rPr>
                <w:rFonts w:ascii="IBM Plex Sans" w:cs="IBM Plex Sans" w:eastAsia="IBM Plex Sans" w:hAnsi="IBM Plex Sans"/>
                <w:sz w:val="28"/>
                <w:szCs w:val="28"/>
              </w:rPr>
            </w:pPr>
            <w:r w:rsidDel="00000000" w:rsidR="00000000" w:rsidRPr="00000000">
              <w:rPr>
                <w:rFonts w:ascii="IBM Plex Sans" w:cs="IBM Plex Sans" w:eastAsia="IBM Plex Sans" w:hAnsi="IBM Plex Sans"/>
                <w:b w:val="1"/>
                <w:bCs w:val="1"/>
                <w:color w:val="ffffff"/>
                <w:sz w:val="28"/>
                <w:szCs w:val="28"/>
                <w:rtl w:val="0"/>
              </w:rPr>
              <w:t xml:space="preserve">Subtotal (ARS)</w:t>
            </w:r>
            <w:r w:rsidDel="00000000" w:rsidR="00000000" w:rsidRPr="00000000">
              <w:rPr>
                <w:rtl w:val="0"/>
              </w:rPr>
            </w:r>
          </w:p>
        </w:tc>
      </w:tr>
      <w:tr>
        <w:trPr>
          <w:cantSplit w:val="0"/>
          <w:trHeight w:val="234" w:hRule="atLeast"/>
          <w:tblHeader w:val="0"/>
        </w:trPr>
        <w:tc>
          <w:tcPr>
            <w:tcMar>
              <w:top w:w="0.0" w:type="dxa"/>
              <w:bottom w:w="0.0" w:type="dxa"/>
            </w:tcMar>
            <w:vAlign w:val="center"/>
          </w:tcPr>
          <w:p w:rsidR="00000000" w:rsidDel="00000000" w:rsidP="00000000" w:rsidRDefault="00000000" w:rsidRPr="00000000" w14:paraId="00000077">
            <w:pPr>
              <w:spacing w:after="120" w:before="120" w:line="276"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Bloque A</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78">
            <w:pPr>
              <w:spacing w:after="120" w:before="120" w:line="276"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Nivel 1: Marcha/Pausa en el telar</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79">
            <w:pPr>
              <w:spacing w:after="120" w:before="120" w:line="276"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Comprar ahora, para la Etapa 4</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7A">
            <w:pPr>
              <w:spacing w:after="120" w:before="120" w:line="276" w:lineRule="auto"/>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$30.634</w:t>
            </w:r>
            <w:r w:rsidDel="00000000" w:rsidR="00000000" w:rsidRPr="00000000">
              <w:rPr>
                <w:rtl w:val="0"/>
              </w:rPr>
            </w:r>
          </w:p>
        </w:tc>
      </w:tr>
      <w:tr>
        <w:trPr>
          <w:cantSplit w:val="0"/>
          <w:trHeight w:val="234" w:hRule="atLeast"/>
          <w:tblHeader w:val="0"/>
        </w:trPr>
        <w:tc>
          <w:tcPr>
            <w:tcMar>
              <w:top w:w="0.0" w:type="dxa"/>
              <w:bottom w:w="0.0" w:type="dxa"/>
            </w:tcMar>
            <w:vAlign w:val="center"/>
          </w:tcPr>
          <w:p w:rsidR="00000000" w:rsidDel="00000000" w:rsidP="00000000" w:rsidRDefault="00000000" w:rsidRPr="00000000" w14:paraId="0000007B">
            <w:pPr>
              <w:spacing w:after="120" w:before="120" w:line="276"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7C">
            <w:pPr>
              <w:spacing w:after="120" w:before="120" w:line="276"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Medición del telar</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7D">
            <w:pPr>
              <w:spacing w:after="120" w:before="120" w:line="276"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Casi todo prestado / gratis, primer paso</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7E">
            <w:pPr>
              <w:spacing w:after="120" w:before="120" w:line="276" w:lineRule="auto"/>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$15.000</w:t>
            </w:r>
            <w:r w:rsidDel="00000000" w:rsidR="00000000" w:rsidRPr="00000000">
              <w:rPr>
                <w:rtl w:val="0"/>
              </w:rPr>
            </w:r>
          </w:p>
        </w:tc>
      </w:tr>
      <w:tr>
        <w:trPr>
          <w:cantSplit w:val="0"/>
          <w:trHeight w:val="255" w:hRule="atLeast"/>
          <w:tblHeader w:val="0"/>
        </w:trPr>
        <w:tc>
          <w:tcPr>
            <w:tcMar>
              <w:top w:w="0.0" w:type="dxa"/>
              <w:bottom w:w="0.0" w:type="dxa"/>
            </w:tcMar>
            <w:vAlign w:val="center"/>
          </w:tcPr>
          <w:p w:rsidR="00000000" w:rsidDel="00000000" w:rsidP="00000000" w:rsidRDefault="00000000" w:rsidRPr="00000000" w14:paraId="0000007F">
            <w:pPr>
              <w:spacing w:after="120" w:before="120" w:line="276"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Bloque C</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80">
            <w:pPr>
              <w:spacing w:after="120" w:before="120" w:line="276"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Sensor de pasada</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81">
            <w:pPr>
              <w:spacing w:after="120" w:before="120" w:line="276"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Comprar junto con el Bloque D, después de medir</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82">
            <w:pPr>
              <w:spacing w:after="120" w:before="120" w:line="276" w:lineRule="auto"/>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$34.800</w:t>
            </w:r>
            <w:r w:rsidDel="00000000" w:rsidR="00000000" w:rsidRPr="00000000">
              <w:rPr>
                <w:rtl w:val="0"/>
              </w:rPr>
            </w:r>
          </w:p>
        </w:tc>
      </w:tr>
      <w:tr>
        <w:trPr>
          <w:cantSplit w:val="0"/>
          <w:trHeight w:val="234" w:hRule="atLeast"/>
          <w:tblHeader w:val="0"/>
        </w:trPr>
        <w:tc>
          <w:tcPr>
            <w:tcMar>
              <w:top w:w="0.0" w:type="dxa"/>
              <w:bottom w:w="0.0" w:type="dxa"/>
            </w:tcMar>
            <w:vAlign w:val="center"/>
          </w:tcPr>
          <w:p w:rsidR="00000000" w:rsidDel="00000000" w:rsidP="00000000" w:rsidRDefault="00000000" w:rsidRPr="00000000" w14:paraId="00000083">
            <w:pPr>
              <w:spacing w:after="120" w:before="120" w:line="276"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Bloque D</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84">
            <w:pPr>
              <w:spacing w:after="120" w:before="120" w:line="276"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Nivel 2: bobinas de selección</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85">
            <w:pPr>
              <w:spacing w:after="120" w:before="120" w:line="276"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Recién después de medir el telar (tarea 5.10)</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86">
            <w:pPr>
              <w:spacing w:after="120" w:before="120" w:line="276" w:lineRule="auto"/>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$179.900</w:t>
            </w:r>
            <w:r w:rsidDel="00000000" w:rsidR="00000000" w:rsidRPr="00000000">
              <w:rPr>
                <w:rtl w:val="0"/>
              </w:rPr>
            </w:r>
          </w:p>
        </w:tc>
      </w:tr>
      <w:tr>
        <w:trPr>
          <w:cantSplit w:val="0"/>
          <w:trHeight w:val="298" w:hRule="atLeast"/>
          <w:tblHeader w:val="0"/>
        </w:trPr>
        <w:tc>
          <w:tcPr>
            <w:gridSpan w:val="3"/>
            <w:shd w:fill="DCE7F0" w:val="clear"/>
            <w:tcMar>
              <w:top w:w="0.0" w:type="dxa"/>
              <w:bottom w:w="0.0" w:type="dxa"/>
            </w:tcMar>
          </w:tcPr>
          <w:p w:rsidR="00000000" w:rsidDel="00000000" w:rsidP="00000000" w:rsidRDefault="00000000" w:rsidRPr="00000000" w14:paraId="00000087">
            <w:pPr>
              <w:spacing w:after="120" w:before="120" w:line="276"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b w:val="1"/>
                <w:bCs w:val="1"/>
                <w:sz w:val="24"/>
                <w:szCs w:val="24"/>
                <w:rtl w:val="0"/>
              </w:rPr>
              <w:t xml:space="preserve">SUBTOTAL COMPONENTES ELECTRÓNICOS</w:t>
            </w:r>
            <w:r w:rsidDel="00000000" w:rsidR="00000000" w:rsidRPr="00000000">
              <w:rPr>
                <w:rtl w:val="0"/>
              </w:rPr>
            </w:r>
          </w:p>
        </w:tc>
        <w:tc>
          <w:tcPr>
            <w:shd w:fill="DCE7F0" w:val="clear"/>
            <w:tcMar>
              <w:top w:w="0.0" w:type="dxa"/>
              <w:bottom w:w="0.0" w:type="dxa"/>
            </w:tcMar>
            <w:vAlign w:val="center"/>
          </w:tcPr>
          <w:p w:rsidR="00000000" w:rsidDel="00000000" w:rsidP="00000000" w:rsidRDefault="00000000" w:rsidRPr="00000000" w14:paraId="0000008A">
            <w:pPr>
              <w:spacing w:after="120" w:before="120" w:line="276" w:lineRule="auto"/>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b w:val="1"/>
                <w:bCs w:val="1"/>
                <w:color w:val="000000"/>
                <w:sz w:val="24"/>
                <w:szCs w:val="24"/>
                <w:rtl w:val="0"/>
              </w:rPr>
              <w:t xml:space="preserve">$90.866</w:t>
            </w:r>
            <w:r w:rsidDel="00000000" w:rsidR="00000000" w:rsidRPr="00000000">
              <w:rPr>
                <w:rtl w:val="0"/>
              </w:rPr>
            </w:r>
          </w:p>
        </w:tc>
      </w:tr>
    </w:tbl>
    <w:p w:rsidR="00000000" w:rsidDel="00000000" w:rsidP="00000000" w:rsidRDefault="00000000" w:rsidRPr="00000000" w14:paraId="0000008B">
      <w:pPr>
        <w:pStyle w:val="Heading2"/>
        <w:spacing w:after="150" w:before="300" w:lineRule="auto"/>
        <w:rPr>
          <w:rFonts w:ascii="Questrial" w:cs="Questrial" w:eastAsia="Questrial" w:hAnsi="Questrial"/>
          <w:sz w:val="30"/>
          <w:szCs w:val="30"/>
        </w:rPr>
      </w:pPr>
      <w:r w:rsidDel="00000000" w:rsidR="00000000" w:rsidRPr="00000000">
        <w:rPr>
          <w:rtl w:val="0"/>
        </w:rPr>
      </w:r>
    </w:p>
    <w:p w:rsidR="00000000" w:rsidDel="00000000" w:rsidP="00000000" w:rsidRDefault="00000000" w:rsidRPr="00000000" w14:paraId="0000008C">
      <w:pPr>
        <w:pStyle w:val="Heading2"/>
        <w:spacing w:after="150" w:before="300" w:lineRule="auto"/>
        <w:rPr>
          <w:rFonts w:ascii="Questrial" w:cs="Questrial" w:eastAsia="Questrial" w:hAnsi="Questrial"/>
          <w:color w:val="1E3A5F"/>
          <w:sz w:val="30"/>
          <w:szCs w:val="30"/>
        </w:rPr>
      </w:pPr>
      <w:r w:rsidDel="00000000" w:rsidR="00000000" w:rsidRPr="00000000">
        <w:rPr>
          <w:rFonts w:ascii="Questrial" w:cs="Questrial" w:eastAsia="Questrial" w:hAnsi="Questrial"/>
          <w:color w:val="1E3A5F"/>
          <w:sz w:val="30"/>
          <w:szCs w:val="30"/>
          <w:rtl w:val="0"/>
        </w:rPr>
        <w:t xml:space="preserve">3.3 Costos varios / operativos</w:t>
      </w:r>
    </w:p>
    <w:p w:rsidR="00000000" w:rsidDel="00000000" w:rsidP="00000000" w:rsidRDefault="00000000" w:rsidRPr="00000000" w14:paraId="0000008D">
      <w:pPr>
        <w:spacing w:after="150"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Gastos de funcionamiento del proyecto durante el desarrollo, con 7% de contingencia.</w:t>
      </w:r>
    </w:p>
    <w:tbl>
      <w:tblPr>
        <w:tblStyle w:val="Table3"/>
        <w:tblW w:w="14931.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897"/>
        <w:gridCol w:w="2506"/>
        <w:gridCol w:w="1537"/>
        <w:gridCol w:w="2094"/>
        <w:gridCol w:w="1838"/>
        <w:gridCol w:w="3059"/>
        <w:tblGridChange w:id="0">
          <w:tblGrid>
            <w:gridCol w:w="3897"/>
            <w:gridCol w:w="2506"/>
            <w:gridCol w:w="1537"/>
            <w:gridCol w:w="2094"/>
            <w:gridCol w:w="1838"/>
            <w:gridCol w:w="3059"/>
          </w:tblGrid>
        </w:tblGridChange>
      </w:tblGrid>
      <w:tr>
        <w:trPr>
          <w:cantSplit w:val="0"/>
          <w:trHeight w:val="234" w:hRule="atLeast"/>
          <w:tblHeader w:val="1"/>
        </w:trPr>
        <w:tc>
          <w:tcPr>
            <w:shd w:fill="1E3A5F" w:val="clear"/>
            <w:tcMar>
              <w:top w:w="0.0" w:type="dxa"/>
              <w:bottom w:w="0.0" w:type="dxa"/>
            </w:tcMar>
            <w:vAlign w:val="center"/>
          </w:tcPr>
          <w:p w:rsidR="00000000" w:rsidDel="00000000" w:rsidP="00000000" w:rsidRDefault="00000000" w:rsidRPr="00000000" w14:paraId="0000008E">
            <w:pPr>
              <w:spacing w:after="120" w:before="120" w:line="276" w:lineRule="auto"/>
              <w:jc w:val="center"/>
              <w:rPr>
                <w:rFonts w:ascii="IBM Plex Sans" w:cs="IBM Plex Sans" w:eastAsia="IBM Plex Sans" w:hAnsi="IBM Plex Sans"/>
                <w:sz w:val="28"/>
                <w:szCs w:val="28"/>
              </w:rPr>
            </w:pPr>
            <w:r w:rsidDel="00000000" w:rsidR="00000000" w:rsidRPr="00000000">
              <w:rPr>
                <w:rFonts w:ascii="IBM Plex Sans" w:cs="IBM Plex Sans" w:eastAsia="IBM Plex Sans" w:hAnsi="IBM Plex Sans"/>
                <w:b w:val="1"/>
                <w:bCs w:val="1"/>
                <w:color w:val="ffffff"/>
                <w:sz w:val="28"/>
                <w:szCs w:val="28"/>
                <w:rtl w:val="0"/>
              </w:rPr>
              <w:t xml:space="preserve">Concepto</w:t>
            </w:r>
            <w:r w:rsidDel="00000000" w:rsidR="00000000" w:rsidRPr="00000000">
              <w:rPr>
                <w:rtl w:val="0"/>
              </w:rPr>
            </w:r>
          </w:p>
        </w:tc>
        <w:tc>
          <w:tcPr>
            <w:shd w:fill="1E3A5F" w:val="clear"/>
            <w:tcMar>
              <w:top w:w="0.0" w:type="dxa"/>
              <w:bottom w:w="0.0" w:type="dxa"/>
            </w:tcMar>
            <w:vAlign w:val="center"/>
          </w:tcPr>
          <w:p w:rsidR="00000000" w:rsidDel="00000000" w:rsidP="00000000" w:rsidRDefault="00000000" w:rsidRPr="00000000" w14:paraId="0000008F">
            <w:pPr>
              <w:spacing w:after="120" w:before="120" w:line="276" w:lineRule="auto"/>
              <w:jc w:val="center"/>
              <w:rPr>
                <w:rFonts w:ascii="IBM Plex Sans" w:cs="IBM Plex Sans" w:eastAsia="IBM Plex Sans" w:hAnsi="IBM Plex Sans"/>
                <w:sz w:val="28"/>
                <w:szCs w:val="28"/>
              </w:rPr>
            </w:pPr>
            <w:r w:rsidDel="00000000" w:rsidR="00000000" w:rsidRPr="00000000">
              <w:rPr>
                <w:rFonts w:ascii="IBM Plex Sans" w:cs="IBM Plex Sans" w:eastAsia="IBM Plex Sans" w:hAnsi="IBM Plex Sans"/>
                <w:b w:val="1"/>
                <w:bCs w:val="1"/>
                <w:color w:val="ffffff"/>
                <w:sz w:val="28"/>
                <w:szCs w:val="28"/>
                <w:rtl w:val="0"/>
              </w:rPr>
              <w:t xml:space="preserve">Precio unit.</w:t>
            </w:r>
            <w:r w:rsidDel="00000000" w:rsidR="00000000" w:rsidRPr="00000000">
              <w:rPr>
                <w:rtl w:val="0"/>
              </w:rPr>
            </w:r>
          </w:p>
        </w:tc>
        <w:tc>
          <w:tcPr>
            <w:shd w:fill="1E3A5F" w:val="clear"/>
            <w:tcMar>
              <w:top w:w="0.0" w:type="dxa"/>
              <w:bottom w:w="0.0" w:type="dxa"/>
            </w:tcMar>
            <w:vAlign w:val="center"/>
          </w:tcPr>
          <w:p w:rsidR="00000000" w:rsidDel="00000000" w:rsidP="00000000" w:rsidRDefault="00000000" w:rsidRPr="00000000" w14:paraId="00000090">
            <w:pPr>
              <w:spacing w:after="120" w:before="120" w:line="276" w:lineRule="auto"/>
              <w:jc w:val="center"/>
              <w:rPr>
                <w:rFonts w:ascii="IBM Plex Sans" w:cs="IBM Plex Sans" w:eastAsia="IBM Plex Sans" w:hAnsi="IBM Plex Sans"/>
                <w:sz w:val="28"/>
                <w:szCs w:val="28"/>
              </w:rPr>
            </w:pPr>
            <w:r w:rsidDel="00000000" w:rsidR="00000000" w:rsidRPr="00000000">
              <w:rPr>
                <w:rFonts w:ascii="IBM Plex Sans" w:cs="IBM Plex Sans" w:eastAsia="IBM Plex Sans" w:hAnsi="IBM Plex Sans"/>
                <w:b w:val="1"/>
                <w:bCs w:val="1"/>
                <w:color w:val="ffffff"/>
                <w:sz w:val="28"/>
                <w:szCs w:val="28"/>
                <w:rtl w:val="0"/>
              </w:rPr>
              <w:t xml:space="preserve">Cant.</w:t>
            </w:r>
            <w:r w:rsidDel="00000000" w:rsidR="00000000" w:rsidRPr="00000000">
              <w:rPr>
                <w:rtl w:val="0"/>
              </w:rPr>
            </w:r>
          </w:p>
        </w:tc>
        <w:tc>
          <w:tcPr>
            <w:shd w:fill="1E3A5F" w:val="clear"/>
            <w:tcMar>
              <w:top w:w="0.0" w:type="dxa"/>
              <w:bottom w:w="0.0" w:type="dxa"/>
            </w:tcMar>
            <w:vAlign w:val="center"/>
          </w:tcPr>
          <w:p w:rsidR="00000000" w:rsidDel="00000000" w:rsidP="00000000" w:rsidRDefault="00000000" w:rsidRPr="00000000" w14:paraId="00000091">
            <w:pPr>
              <w:spacing w:after="120" w:before="120" w:line="276" w:lineRule="auto"/>
              <w:jc w:val="center"/>
              <w:rPr>
                <w:rFonts w:ascii="IBM Plex Sans" w:cs="IBM Plex Sans" w:eastAsia="IBM Plex Sans" w:hAnsi="IBM Plex Sans"/>
                <w:sz w:val="28"/>
                <w:szCs w:val="28"/>
              </w:rPr>
            </w:pPr>
            <w:r w:rsidDel="00000000" w:rsidR="00000000" w:rsidRPr="00000000">
              <w:rPr>
                <w:rFonts w:ascii="IBM Plex Sans" w:cs="IBM Plex Sans" w:eastAsia="IBM Plex Sans" w:hAnsi="IBM Plex Sans"/>
                <w:b w:val="1"/>
                <w:bCs w:val="1"/>
                <w:color w:val="ffffff"/>
                <w:sz w:val="28"/>
                <w:szCs w:val="28"/>
                <w:rtl w:val="0"/>
              </w:rPr>
              <w:t xml:space="preserve">Unidad</w:t>
            </w:r>
            <w:r w:rsidDel="00000000" w:rsidR="00000000" w:rsidRPr="00000000">
              <w:rPr>
                <w:rtl w:val="0"/>
              </w:rPr>
            </w:r>
          </w:p>
        </w:tc>
        <w:tc>
          <w:tcPr>
            <w:shd w:fill="1E3A5F" w:val="clear"/>
            <w:tcMar>
              <w:top w:w="0.0" w:type="dxa"/>
              <w:bottom w:w="0.0" w:type="dxa"/>
            </w:tcMar>
            <w:vAlign w:val="center"/>
          </w:tcPr>
          <w:p w:rsidR="00000000" w:rsidDel="00000000" w:rsidP="00000000" w:rsidRDefault="00000000" w:rsidRPr="00000000" w14:paraId="00000092">
            <w:pPr>
              <w:spacing w:after="120" w:before="120" w:line="276" w:lineRule="auto"/>
              <w:jc w:val="center"/>
              <w:rPr>
                <w:rFonts w:ascii="IBM Plex Sans" w:cs="IBM Plex Sans" w:eastAsia="IBM Plex Sans" w:hAnsi="IBM Plex Sans"/>
                <w:sz w:val="28"/>
                <w:szCs w:val="28"/>
              </w:rPr>
            </w:pPr>
            <w:r w:rsidDel="00000000" w:rsidR="00000000" w:rsidRPr="00000000">
              <w:rPr>
                <w:rFonts w:ascii="IBM Plex Sans" w:cs="IBM Plex Sans" w:eastAsia="IBM Plex Sans" w:hAnsi="IBM Plex Sans"/>
                <w:b w:val="1"/>
                <w:bCs w:val="1"/>
                <w:color w:val="ffffff"/>
                <w:sz w:val="28"/>
                <w:szCs w:val="28"/>
                <w:rtl w:val="0"/>
              </w:rPr>
              <w:t xml:space="preserve">Continge.</w:t>
            </w:r>
            <w:r w:rsidDel="00000000" w:rsidR="00000000" w:rsidRPr="00000000">
              <w:rPr>
                <w:rtl w:val="0"/>
              </w:rPr>
            </w:r>
          </w:p>
        </w:tc>
        <w:tc>
          <w:tcPr>
            <w:shd w:fill="1E3A5F" w:val="clear"/>
            <w:tcMar>
              <w:top w:w="0.0" w:type="dxa"/>
              <w:bottom w:w="0.0" w:type="dxa"/>
            </w:tcMar>
            <w:vAlign w:val="center"/>
          </w:tcPr>
          <w:p w:rsidR="00000000" w:rsidDel="00000000" w:rsidP="00000000" w:rsidRDefault="00000000" w:rsidRPr="00000000" w14:paraId="00000093">
            <w:pPr>
              <w:spacing w:after="120" w:before="120" w:line="276" w:lineRule="auto"/>
              <w:jc w:val="center"/>
              <w:rPr>
                <w:rFonts w:ascii="IBM Plex Sans" w:cs="IBM Plex Sans" w:eastAsia="IBM Plex Sans" w:hAnsi="IBM Plex Sans"/>
                <w:sz w:val="28"/>
                <w:szCs w:val="28"/>
              </w:rPr>
            </w:pPr>
            <w:r w:rsidDel="00000000" w:rsidR="00000000" w:rsidRPr="00000000">
              <w:rPr>
                <w:rFonts w:ascii="IBM Plex Sans" w:cs="IBM Plex Sans" w:eastAsia="IBM Plex Sans" w:hAnsi="IBM Plex Sans"/>
                <w:b w:val="1"/>
                <w:bCs w:val="1"/>
                <w:color w:val="ffffff"/>
                <w:sz w:val="28"/>
                <w:szCs w:val="28"/>
                <w:rtl w:val="0"/>
              </w:rPr>
              <w:t xml:space="preserve">Subtotal (ARS)</w:t>
            </w:r>
            <w:r w:rsidDel="00000000" w:rsidR="00000000" w:rsidRPr="00000000">
              <w:rPr>
                <w:rtl w:val="0"/>
              </w:rPr>
            </w:r>
          </w:p>
        </w:tc>
      </w:tr>
      <w:tr>
        <w:trPr>
          <w:cantSplit w:val="0"/>
          <w:trHeight w:val="234" w:hRule="atLeast"/>
          <w:tblHeader w:val="0"/>
        </w:trPr>
        <w:tc>
          <w:tcPr>
            <w:tcMar>
              <w:top w:w="0.0" w:type="dxa"/>
              <w:bottom w:w="0.0" w:type="dxa"/>
            </w:tcMar>
            <w:vAlign w:val="center"/>
          </w:tcPr>
          <w:p w:rsidR="00000000" w:rsidDel="00000000" w:rsidP="00000000" w:rsidRDefault="00000000" w:rsidRPr="00000000" w14:paraId="00000094">
            <w:pPr>
              <w:spacing w:after="120" w:before="120" w:line="276"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Internet</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95">
            <w:pPr>
              <w:spacing w:after="120" w:before="120" w:line="276" w:lineRule="auto"/>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$24.000</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96">
            <w:pPr>
              <w:spacing w:after="120" w:before="120" w:line="276" w:lineRule="auto"/>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2</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97">
            <w:pPr>
              <w:spacing w:after="120" w:before="120" w:line="276" w:lineRule="auto"/>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meses</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98">
            <w:pPr>
              <w:spacing w:after="120" w:before="120" w:line="276" w:lineRule="auto"/>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7%</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99">
            <w:pPr>
              <w:spacing w:after="120" w:before="120" w:line="276" w:lineRule="auto"/>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$51.360</w:t>
            </w:r>
            <w:r w:rsidDel="00000000" w:rsidR="00000000" w:rsidRPr="00000000">
              <w:rPr>
                <w:rtl w:val="0"/>
              </w:rPr>
            </w:r>
          </w:p>
        </w:tc>
      </w:tr>
      <w:tr>
        <w:trPr>
          <w:cantSplit w:val="0"/>
          <w:trHeight w:val="234" w:hRule="atLeast"/>
          <w:tblHeader w:val="0"/>
        </w:trPr>
        <w:tc>
          <w:tcPr>
            <w:tcMar>
              <w:top w:w="0.0" w:type="dxa"/>
              <w:bottom w:w="0.0" w:type="dxa"/>
            </w:tcMar>
            <w:vAlign w:val="center"/>
          </w:tcPr>
          <w:p w:rsidR="00000000" w:rsidDel="00000000" w:rsidP="00000000" w:rsidRDefault="00000000" w:rsidRPr="00000000" w14:paraId="0000009A">
            <w:pPr>
              <w:spacing w:after="120" w:before="120" w:line="276"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Insumos materiales</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9B">
            <w:pPr>
              <w:spacing w:after="120" w:before="120" w:line="276" w:lineRule="auto"/>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$15.000</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9C">
            <w:pPr>
              <w:spacing w:after="120" w:before="120" w:line="276" w:lineRule="auto"/>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1</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9D">
            <w:pPr>
              <w:spacing w:after="120" w:before="120" w:line="276" w:lineRule="auto"/>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unidad</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9E">
            <w:pPr>
              <w:spacing w:after="120" w:before="120" w:line="276" w:lineRule="auto"/>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7%</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9F">
            <w:pPr>
              <w:spacing w:after="120" w:before="120" w:line="276" w:lineRule="auto"/>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$16.050</w:t>
            </w:r>
            <w:r w:rsidDel="00000000" w:rsidR="00000000" w:rsidRPr="00000000">
              <w:rPr>
                <w:rtl w:val="0"/>
              </w:rPr>
            </w:r>
          </w:p>
        </w:tc>
      </w:tr>
      <w:tr>
        <w:trPr>
          <w:cantSplit w:val="0"/>
          <w:trHeight w:val="255" w:hRule="atLeast"/>
          <w:tblHeader w:val="0"/>
        </w:trPr>
        <w:tc>
          <w:tcPr>
            <w:tcMar>
              <w:top w:w="0.0" w:type="dxa"/>
              <w:bottom w:w="0.0" w:type="dxa"/>
            </w:tcMar>
            <w:vAlign w:val="center"/>
          </w:tcPr>
          <w:p w:rsidR="00000000" w:rsidDel="00000000" w:rsidP="00000000" w:rsidRDefault="00000000" w:rsidRPr="00000000" w14:paraId="000000A0">
            <w:pPr>
              <w:spacing w:after="120" w:before="120" w:line="276"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Insumos tecnológicos</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A1">
            <w:pPr>
              <w:spacing w:after="120" w:before="120" w:line="276" w:lineRule="auto"/>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$35.000</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A2">
            <w:pPr>
              <w:spacing w:after="120" w:before="120" w:line="276" w:lineRule="auto"/>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1</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A3">
            <w:pPr>
              <w:spacing w:after="120" w:before="120" w:line="276" w:lineRule="auto"/>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unidad</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A4">
            <w:pPr>
              <w:spacing w:after="120" w:before="120" w:line="276" w:lineRule="auto"/>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7%</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A5">
            <w:pPr>
              <w:spacing w:after="120" w:before="120" w:line="276" w:lineRule="auto"/>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$37.450</w:t>
            </w:r>
            <w:r w:rsidDel="00000000" w:rsidR="00000000" w:rsidRPr="00000000">
              <w:rPr>
                <w:rtl w:val="0"/>
              </w:rPr>
            </w:r>
          </w:p>
        </w:tc>
      </w:tr>
      <w:tr>
        <w:trPr>
          <w:cantSplit w:val="0"/>
          <w:trHeight w:val="234" w:hRule="atLeast"/>
          <w:tblHeader w:val="0"/>
        </w:trPr>
        <w:tc>
          <w:tcPr>
            <w:tcMar>
              <w:top w:w="0.0" w:type="dxa"/>
              <w:bottom w:w="0.0" w:type="dxa"/>
            </w:tcMar>
            <w:vAlign w:val="center"/>
          </w:tcPr>
          <w:p w:rsidR="00000000" w:rsidDel="00000000" w:rsidP="00000000" w:rsidRDefault="00000000" w:rsidRPr="00000000" w14:paraId="000000A6">
            <w:pPr>
              <w:spacing w:after="120" w:before="120" w:line="276"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Entrega de productos</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A7">
            <w:pPr>
              <w:spacing w:after="120" w:before="120" w:line="276" w:lineRule="auto"/>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$4.500</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A8">
            <w:pPr>
              <w:spacing w:after="120" w:before="120" w:line="276" w:lineRule="auto"/>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1</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A9">
            <w:pPr>
              <w:spacing w:after="120" w:before="120" w:line="276" w:lineRule="auto"/>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unidad</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AA">
            <w:pPr>
              <w:spacing w:after="120" w:before="120" w:line="276" w:lineRule="auto"/>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7%</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AB">
            <w:pPr>
              <w:spacing w:after="120" w:before="120" w:line="276" w:lineRule="auto"/>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$4.815</w:t>
            </w:r>
            <w:r w:rsidDel="00000000" w:rsidR="00000000" w:rsidRPr="00000000">
              <w:rPr>
                <w:rtl w:val="0"/>
              </w:rPr>
            </w:r>
          </w:p>
        </w:tc>
      </w:tr>
      <w:tr>
        <w:trPr>
          <w:cantSplit w:val="0"/>
          <w:trHeight w:val="298" w:hRule="atLeast"/>
          <w:tblHeader w:val="0"/>
        </w:trPr>
        <w:tc>
          <w:tcPr>
            <w:gridSpan w:val="5"/>
            <w:shd w:fill="DCE7F0" w:val="clear"/>
            <w:tcMar>
              <w:top w:w="0.0" w:type="dxa"/>
              <w:bottom w:w="0.0" w:type="dxa"/>
            </w:tcMar>
          </w:tcPr>
          <w:p w:rsidR="00000000" w:rsidDel="00000000" w:rsidP="00000000" w:rsidRDefault="00000000" w:rsidRPr="00000000" w14:paraId="000000AC">
            <w:pPr>
              <w:spacing w:after="120" w:before="120" w:line="276"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b w:val="1"/>
                <w:bCs w:val="1"/>
                <w:sz w:val="24"/>
                <w:szCs w:val="24"/>
                <w:rtl w:val="0"/>
              </w:rPr>
              <w:t xml:space="preserve">SUBTOTAL COSTOS VARIOS</w:t>
            </w:r>
            <w:r w:rsidDel="00000000" w:rsidR="00000000" w:rsidRPr="00000000">
              <w:rPr>
                <w:rtl w:val="0"/>
              </w:rPr>
            </w:r>
          </w:p>
        </w:tc>
        <w:tc>
          <w:tcPr>
            <w:shd w:fill="DCE7F0" w:val="clear"/>
            <w:tcMar>
              <w:top w:w="0.0" w:type="dxa"/>
              <w:bottom w:w="0.0" w:type="dxa"/>
            </w:tcMar>
            <w:vAlign w:val="center"/>
          </w:tcPr>
          <w:p w:rsidR="00000000" w:rsidDel="00000000" w:rsidP="00000000" w:rsidRDefault="00000000" w:rsidRPr="00000000" w14:paraId="000000B1">
            <w:pPr>
              <w:spacing w:after="120" w:before="120" w:line="276" w:lineRule="auto"/>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b w:val="1"/>
                <w:bCs w:val="1"/>
                <w:color w:val="000000"/>
                <w:sz w:val="24"/>
                <w:szCs w:val="24"/>
                <w:rtl w:val="0"/>
              </w:rPr>
              <w:t xml:space="preserve">$109.675</w:t>
            </w:r>
            <w:r w:rsidDel="00000000" w:rsidR="00000000" w:rsidRPr="00000000">
              <w:rPr>
                <w:rtl w:val="0"/>
              </w:rPr>
            </w:r>
          </w:p>
        </w:tc>
      </w:tr>
    </w:tbl>
    <w:p w:rsidR="00000000" w:rsidDel="00000000" w:rsidP="00000000" w:rsidRDefault="00000000" w:rsidRPr="00000000" w14:paraId="000000B2">
      <w:pPr>
        <w:pStyle w:val="Heading2"/>
        <w:spacing w:after="150" w:before="300" w:lineRule="auto"/>
        <w:rPr>
          <w:rFonts w:ascii="Questrial" w:cs="Questrial" w:eastAsia="Questrial" w:hAnsi="Questrial"/>
          <w:sz w:val="30"/>
          <w:szCs w:val="30"/>
        </w:rPr>
      </w:pPr>
      <w:r w:rsidDel="00000000" w:rsidR="00000000" w:rsidRPr="00000000">
        <w:rPr>
          <w:rtl w:val="0"/>
        </w:rPr>
      </w:r>
    </w:p>
    <w:p w:rsidR="00000000" w:rsidDel="00000000" w:rsidP="00000000" w:rsidRDefault="00000000" w:rsidRPr="00000000" w14:paraId="000000B3">
      <w:pPr>
        <w:pStyle w:val="Heading2"/>
        <w:spacing w:after="150" w:before="300" w:lineRule="auto"/>
        <w:rPr>
          <w:rFonts w:ascii="Questrial" w:cs="Questrial" w:eastAsia="Questrial" w:hAnsi="Questrial"/>
          <w:color w:val="1E3A5F"/>
          <w:sz w:val="30"/>
          <w:szCs w:val="30"/>
        </w:rPr>
      </w:pPr>
      <w:r w:rsidDel="00000000" w:rsidR="00000000" w:rsidRPr="00000000">
        <w:rPr>
          <w:rFonts w:ascii="Questrial" w:cs="Questrial" w:eastAsia="Questrial" w:hAnsi="Questrial"/>
          <w:color w:val="1E3A5F"/>
          <w:sz w:val="30"/>
          <w:szCs w:val="30"/>
          <w:rtl w:val="0"/>
        </w:rPr>
        <w:t xml:space="preserve">3.4 Resumen de costos</w:t>
      </w:r>
    </w:p>
    <w:tbl>
      <w:tblPr>
        <w:tblStyle w:val="Table4"/>
        <w:tblW w:w="14961.999999999998"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1603"/>
        <w:gridCol w:w="3359"/>
        <w:tblGridChange w:id="0">
          <w:tblGrid>
            <w:gridCol w:w="11603"/>
            <w:gridCol w:w="3359"/>
          </w:tblGrid>
        </w:tblGridChange>
      </w:tblGrid>
      <w:tr>
        <w:trPr>
          <w:cantSplit w:val="0"/>
          <w:trHeight w:val="243" w:hRule="atLeast"/>
          <w:tblHeader w:val="0"/>
        </w:trPr>
        <w:tc>
          <w:tcPr>
            <w:tcMar>
              <w:top w:w="0.0" w:type="dxa"/>
              <w:bottom w:w="0.0" w:type="dxa"/>
            </w:tcMar>
            <w:vAlign w:val="center"/>
          </w:tcPr>
          <w:p w:rsidR="00000000" w:rsidDel="00000000" w:rsidP="00000000" w:rsidRDefault="00000000" w:rsidRPr="00000000" w14:paraId="000000B4">
            <w:pPr>
              <w:spacing w:after="120" w:before="120" w:line="276"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Costos de personal </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B5">
            <w:pPr>
              <w:spacing w:after="120" w:before="120" w:line="276" w:lineRule="auto"/>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$24.527.996</w:t>
            </w:r>
            <w:r w:rsidDel="00000000" w:rsidR="00000000" w:rsidRPr="00000000">
              <w:rPr>
                <w:rtl w:val="0"/>
              </w:rPr>
            </w:r>
          </w:p>
        </w:tc>
      </w:tr>
      <w:tr>
        <w:trPr>
          <w:cantSplit w:val="0"/>
          <w:trHeight w:val="243" w:hRule="atLeast"/>
          <w:tblHeader w:val="0"/>
        </w:trPr>
        <w:tc>
          <w:tcPr>
            <w:tcMar>
              <w:top w:w="0.0" w:type="dxa"/>
              <w:bottom w:w="0.0" w:type="dxa"/>
            </w:tcMar>
            <w:vAlign w:val="center"/>
          </w:tcPr>
          <w:p w:rsidR="00000000" w:rsidDel="00000000" w:rsidP="00000000" w:rsidRDefault="00000000" w:rsidRPr="00000000" w14:paraId="000000B6">
            <w:pPr>
              <w:spacing w:after="120" w:before="120" w:line="276"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Componentes electrónicos </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B7">
            <w:pPr>
              <w:spacing w:after="120" w:before="120" w:line="276" w:lineRule="auto"/>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$90.866</w:t>
            </w:r>
            <w:r w:rsidDel="00000000" w:rsidR="00000000" w:rsidRPr="00000000">
              <w:rPr>
                <w:rtl w:val="0"/>
              </w:rPr>
            </w:r>
          </w:p>
        </w:tc>
      </w:tr>
      <w:tr>
        <w:trPr>
          <w:cantSplit w:val="0"/>
          <w:trHeight w:val="243" w:hRule="atLeast"/>
          <w:tblHeader w:val="0"/>
        </w:trPr>
        <w:tc>
          <w:tcPr>
            <w:tcMar>
              <w:top w:w="0.0" w:type="dxa"/>
              <w:bottom w:w="0.0" w:type="dxa"/>
            </w:tcMar>
            <w:vAlign w:val="center"/>
          </w:tcPr>
          <w:p w:rsidR="00000000" w:rsidDel="00000000" w:rsidP="00000000" w:rsidRDefault="00000000" w:rsidRPr="00000000" w14:paraId="000000B8">
            <w:pPr>
              <w:spacing w:after="120" w:before="120" w:line="276"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Costos varios / operativos</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B9">
            <w:pPr>
              <w:spacing w:after="120" w:before="120" w:line="276" w:lineRule="auto"/>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$109.675</w:t>
            </w:r>
            <w:r w:rsidDel="00000000" w:rsidR="00000000" w:rsidRPr="00000000">
              <w:rPr>
                <w:rtl w:val="0"/>
              </w:rPr>
            </w:r>
          </w:p>
        </w:tc>
      </w:tr>
      <w:tr>
        <w:trPr>
          <w:cantSplit w:val="0"/>
          <w:trHeight w:val="266" w:hRule="atLeast"/>
          <w:tblHeader w:val="0"/>
        </w:trPr>
        <w:tc>
          <w:tcPr>
            <w:shd w:fill="DCE7F0" w:val="clear"/>
            <w:tcMar>
              <w:top w:w="0.0" w:type="dxa"/>
              <w:bottom w:w="0.0" w:type="dxa"/>
            </w:tcMar>
            <w:vAlign w:val="center"/>
          </w:tcPr>
          <w:p w:rsidR="00000000" w:rsidDel="00000000" w:rsidP="00000000" w:rsidRDefault="00000000" w:rsidRPr="00000000" w14:paraId="000000BA">
            <w:pPr>
              <w:spacing w:after="120" w:before="120" w:line="276"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b w:val="1"/>
                <w:bCs w:val="1"/>
                <w:color w:val="000000"/>
                <w:sz w:val="24"/>
                <w:szCs w:val="24"/>
                <w:rtl w:val="0"/>
              </w:rPr>
              <w:t xml:space="preserve">SUBTOTAL COSTOS DEL PROYECTO</w:t>
            </w:r>
            <w:r w:rsidDel="00000000" w:rsidR="00000000" w:rsidRPr="00000000">
              <w:rPr>
                <w:rtl w:val="0"/>
              </w:rPr>
            </w:r>
          </w:p>
        </w:tc>
        <w:tc>
          <w:tcPr>
            <w:shd w:fill="DCE7F0" w:val="clear"/>
            <w:tcMar>
              <w:top w:w="0.0" w:type="dxa"/>
              <w:bottom w:w="0.0" w:type="dxa"/>
            </w:tcMar>
            <w:vAlign w:val="center"/>
          </w:tcPr>
          <w:p w:rsidR="00000000" w:rsidDel="00000000" w:rsidP="00000000" w:rsidRDefault="00000000" w:rsidRPr="00000000" w14:paraId="000000BB">
            <w:pPr>
              <w:spacing w:after="120" w:before="120" w:line="276" w:lineRule="auto"/>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b w:val="1"/>
                <w:bCs w:val="1"/>
                <w:color w:val="000000"/>
                <w:sz w:val="24"/>
                <w:szCs w:val="24"/>
                <w:rtl w:val="0"/>
              </w:rPr>
              <w:t xml:space="preserve">$24.728.537</w:t>
            </w:r>
            <w:r w:rsidDel="00000000" w:rsidR="00000000" w:rsidRPr="00000000">
              <w:rPr>
                <w:rtl w:val="0"/>
              </w:rPr>
            </w:r>
          </w:p>
        </w:tc>
      </w:tr>
      <w:tr>
        <w:trPr>
          <w:cantSplit w:val="0"/>
          <w:trHeight w:val="243" w:hRule="atLeast"/>
          <w:tblHeader w:val="0"/>
        </w:trPr>
        <w:tc>
          <w:tcPr>
            <w:tcMar>
              <w:top w:w="0.0" w:type="dxa"/>
              <w:bottom w:w="0.0" w:type="dxa"/>
            </w:tcMar>
            <w:vAlign w:val="center"/>
          </w:tcPr>
          <w:p w:rsidR="00000000" w:rsidDel="00000000" w:rsidP="00000000" w:rsidRDefault="00000000" w:rsidRPr="00000000" w14:paraId="000000BC">
            <w:pPr>
              <w:spacing w:after="120" w:before="120" w:line="276"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Margen (25%)</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BD">
            <w:pPr>
              <w:spacing w:after="120" w:before="120" w:line="276" w:lineRule="auto"/>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$6.182.134</w:t>
            </w:r>
            <w:r w:rsidDel="00000000" w:rsidR="00000000" w:rsidRPr="00000000">
              <w:rPr>
                <w:rtl w:val="0"/>
              </w:rPr>
            </w:r>
          </w:p>
        </w:tc>
      </w:tr>
      <w:tr>
        <w:trPr>
          <w:cantSplit w:val="0"/>
          <w:trHeight w:val="243" w:hRule="atLeast"/>
          <w:tblHeader w:val="0"/>
        </w:trPr>
        <w:tc>
          <w:tcPr>
            <w:shd w:fill="16304F" w:val="clear"/>
            <w:tcMar>
              <w:top w:w="0.0" w:type="dxa"/>
              <w:bottom w:w="0.0" w:type="dxa"/>
            </w:tcMar>
            <w:vAlign w:val="center"/>
          </w:tcPr>
          <w:p w:rsidR="00000000" w:rsidDel="00000000" w:rsidP="00000000" w:rsidRDefault="00000000" w:rsidRPr="00000000" w14:paraId="000000BE">
            <w:pPr>
              <w:spacing w:after="120" w:before="120" w:line="276"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b w:val="1"/>
                <w:bCs w:val="1"/>
                <w:color w:val="ffffff"/>
                <w:sz w:val="24"/>
                <w:szCs w:val="24"/>
                <w:rtl w:val="0"/>
              </w:rPr>
              <w:t xml:space="preserve">PRESUPUESTO FINAL DEL PROYECTO</w:t>
            </w:r>
            <w:r w:rsidDel="00000000" w:rsidR="00000000" w:rsidRPr="00000000">
              <w:rPr>
                <w:rtl w:val="0"/>
              </w:rPr>
            </w:r>
          </w:p>
        </w:tc>
        <w:tc>
          <w:tcPr>
            <w:shd w:fill="16304F" w:val="clear"/>
            <w:tcMar>
              <w:top w:w="0.0" w:type="dxa"/>
              <w:bottom w:w="0.0" w:type="dxa"/>
            </w:tcMar>
            <w:vAlign w:val="center"/>
          </w:tcPr>
          <w:p w:rsidR="00000000" w:rsidDel="00000000" w:rsidP="00000000" w:rsidRDefault="00000000" w:rsidRPr="00000000" w14:paraId="000000BF">
            <w:pPr>
              <w:spacing w:after="120" w:before="120" w:line="276" w:lineRule="auto"/>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b w:val="1"/>
                <w:bCs w:val="1"/>
                <w:color w:val="ffffff"/>
                <w:sz w:val="24"/>
                <w:szCs w:val="24"/>
                <w:rtl w:val="0"/>
              </w:rPr>
              <w:t xml:space="preserve">$30.910.671</w:t>
            </w:r>
            <w:r w:rsidDel="00000000" w:rsidR="00000000" w:rsidRPr="00000000">
              <w:rPr>
                <w:rtl w:val="0"/>
              </w:rPr>
            </w:r>
          </w:p>
        </w:tc>
      </w:tr>
    </w:tbl>
    <w:p w:rsidR="00000000" w:rsidDel="00000000" w:rsidP="00000000" w:rsidRDefault="00000000" w:rsidRPr="00000000" w14:paraId="000000C0">
      <w:pPr>
        <w:rPr>
          <w:rFonts w:ascii="IBM Plex Sans" w:cs="IBM Plex Sans" w:eastAsia="IBM Plex Sans" w:hAnsi="IBM Plex Sans"/>
          <w:sz w:val="22"/>
          <w:szCs w:val="22"/>
        </w:rPr>
      </w:pPr>
      <w:r w:rsidDel="00000000" w:rsidR="00000000" w:rsidRPr="00000000">
        <w:rPr>
          <w:rtl w:val="0"/>
        </w:rPr>
      </w:r>
    </w:p>
    <w:p w:rsidR="00000000" w:rsidDel="00000000" w:rsidP="00000000" w:rsidRDefault="00000000" w:rsidRPr="00000000" w14:paraId="000000C1">
      <w:pPr>
        <w:rPr>
          <w:rFonts w:ascii="IBM Plex Sans" w:cs="IBM Plex Sans" w:eastAsia="IBM Plex Sans" w:hAnsi="IBM Plex Sans"/>
          <w:sz w:val="22"/>
          <w:szCs w:val="22"/>
        </w:rPr>
      </w:pPr>
      <w:r w:rsidDel="00000000" w:rsidR="00000000" w:rsidRPr="00000000">
        <w:rPr>
          <w:rtl w:val="0"/>
        </w:rPr>
      </w:r>
    </w:p>
    <w:p w:rsidR="00000000" w:rsidDel="00000000" w:rsidP="00000000" w:rsidRDefault="00000000" w:rsidRPr="00000000" w14:paraId="000000C2">
      <w:pPr>
        <w:pStyle w:val="Heading1"/>
        <w:rPr>
          <w:rFonts w:ascii="Questrial" w:cs="Questrial" w:eastAsia="Questrial" w:hAnsi="Questrial"/>
          <w:color w:val="1E3A5F"/>
          <w:sz w:val="30"/>
          <w:szCs w:val="30"/>
        </w:rPr>
      </w:pPr>
      <w:r w:rsidDel="00000000" w:rsidR="00000000" w:rsidRPr="00000000">
        <w:rPr>
          <w:rFonts w:ascii="Questrial" w:cs="Questrial" w:eastAsia="Questrial" w:hAnsi="Questrial"/>
          <w:color w:val="1E3A5F"/>
          <w:sz w:val="30"/>
          <w:szCs w:val="30"/>
          <w:rtl w:val="0"/>
        </w:rPr>
        <w:t xml:space="preserve">3.5 Por qué el costo de personal domina el presupuesto</w:t>
      </w:r>
    </w:p>
    <w:p w:rsidR="00000000" w:rsidDel="00000000" w:rsidP="00000000" w:rsidRDefault="00000000" w:rsidRPr="00000000" w14:paraId="000000C3">
      <w:pPr>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De los $24.728.537 de costo total, el 99,2% ($24.527.996) es costo de personal y apenas el 0,8% restante ($200.541) es dinero que el equipo realmente va a desembolsar (componentes + gastos varios). Esto no es un error de cálculo: la tarifa de personal es un valor de referencia de mercado para un profesional junior, aplicado a las 492 horas planificadas de un proyecto de varios meses mide el VALOR del trabajo invertido por el equipo, no un pago en efectivo real entre compañeros. Es el mismo criterio que usa cualquier estudio de factibilidad económica: cuantificar el costo de oportunidad de las horas de trabajo, aunque en este proyecto nadie cobre ese monto. El desembolso de dinero real y concreto del proyecto es, en cambio, muy acotado: $90.866 en componentes electrónicos y $109.675 en gastos varios.</w:t>
      </w:r>
    </w:p>
    <w:p w:rsidR="00000000" w:rsidDel="00000000" w:rsidP="00000000" w:rsidRDefault="00000000" w:rsidRPr="00000000" w14:paraId="000000C4">
      <w:pPr>
        <w:pStyle w:val="Heading1"/>
        <w:rPr>
          <w:rFonts w:ascii="Questrial" w:cs="Questrial" w:eastAsia="Questrial" w:hAnsi="Questrial"/>
          <w:sz w:val="30"/>
          <w:szCs w:val="30"/>
        </w:rPr>
      </w:pPr>
      <w:r w:rsidDel="00000000" w:rsidR="00000000" w:rsidRPr="00000000">
        <w:rPr>
          <w:rtl w:val="0"/>
        </w:rPr>
      </w:r>
    </w:p>
    <w:p w:rsidR="00000000" w:rsidDel="00000000" w:rsidP="00000000" w:rsidRDefault="00000000" w:rsidRPr="00000000" w14:paraId="000000C5">
      <w:pPr>
        <w:pStyle w:val="Heading1"/>
        <w:rPr>
          <w:rFonts w:ascii="Questrial" w:cs="Questrial" w:eastAsia="Questrial" w:hAnsi="Questrial"/>
          <w:color w:val="1E3A5F"/>
          <w:sz w:val="30"/>
          <w:szCs w:val="30"/>
        </w:rPr>
      </w:pPr>
      <w:r w:rsidDel="00000000" w:rsidR="00000000" w:rsidRPr="00000000">
        <w:rPr>
          <w:rFonts w:ascii="Questrial" w:cs="Questrial" w:eastAsia="Questrial" w:hAnsi="Questrial"/>
          <w:color w:val="1E3A5F"/>
          <w:sz w:val="30"/>
          <w:szCs w:val="30"/>
          <w:rtl w:val="0"/>
        </w:rPr>
        <w:t xml:space="preserve">3.6 Riesgo de tipo de cambio</w:t>
      </w:r>
    </w:p>
    <w:p w:rsidR="00000000" w:rsidDel="00000000" w:rsidP="00000000" w:rsidRDefault="00000000" w:rsidRPr="00000000" w14:paraId="000000C6">
      <w:pPr>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Como el costo de personal (99,2% del presupuesto) está calculado en USD y convertido a pesos con un tipo de cambio de referencia ($1.525 = 1 USD), toda la estimación es sensible a la cotización del dólar, que en Argentina puede variar de forma significativa en pocos meses. Una suba del 20% en el tipo de cambio elevaría el costo de personal a unos $29.400.000 (y el presupuesto final con margen a cerca de $37.500.000), sin que haya cambiado ni una hora de trabajo real. El costo en componentes electrónicos y gastos varios, al estar presupuestado directamente en pesos, no tiene esta sensibilidad. Conviene tratar el presupuesto final como una referencia a la fecha de este documento, y no como un número fijo si pasa mucho tiempo entre esta estimación y la compra/cierre real. Se recomienda registrar explícitamente en este documento la fecha en la que se tomó el tipo de cambio de referencia ($1.525 = 1 USD), para que quede como dato de contexto claro si el documento se consulta más adelante.</w:t>
      </w:r>
    </w:p>
    <w:p w:rsidR="00000000" w:rsidDel="00000000" w:rsidP="00000000" w:rsidRDefault="00000000" w:rsidRPr="00000000" w14:paraId="000000C7">
      <w:pPr>
        <w:rPr>
          <w:rFonts w:ascii="IBM Plex Sans" w:cs="IBM Plex Sans" w:eastAsia="IBM Plex Sans" w:hAnsi="IBM Plex Sans"/>
          <w:sz w:val="22"/>
          <w:szCs w:val="22"/>
        </w:rPr>
      </w:pPr>
      <w:r w:rsidDel="00000000" w:rsidR="00000000" w:rsidRPr="00000000">
        <w:rPr>
          <w:rtl w:val="0"/>
        </w:rPr>
      </w:r>
    </w:p>
    <w:p w:rsidR="00000000" w:rsidDel="00000000" w:rsidP="00000000" w:rsidRDefault="00000000" w:rsidRPr="00000000" w14:paraId="000000C8">
      <w:pPr>
        <w:rPr>
          <w:rFonts w:ascii="IBM Plex Sans" w:cs="IBM Plex Sans" w:eastAsia="IBM Plex Sans" w:hAnsi="IBM Plex Sans"/>
          <w:sz w:val="22"/>
          <w:szCs w:val="22"/>
        </w:rPr>
      </w:pPr>
      <w:r w:rsidDel="00000000" w:rsidR="00000000" w:rsidRPr="00000000">
        <w:rPr>
          <w:rtl w:val="0"/>
        </w:rPr>
      </w:r>
    </w:p>
    <w:p w:rsidR="00000000" w:rsidDel="00000000" w:rsidP="00000000" w:rsidRDefault="00000000" w:rsidRPr="00000000" w14:paraId="000000C9">
      <w:pPr>
        <w:pStyle w:val="Heading1"/>
        <w:spacing w:after="200" w:before="400" w:lineRule="auto"/>
        <w:rPr>
          <w:rFonts w:ascii="Questrial" w:cs="Questrial" w:eastAsia="Questrial" w:hAnsi="Questrial"/>
          <w:color w:val="1E3A5F"/>
          <w:sz w:val="30"/>
          <w:szCs w:val="30"/>
        </w:rPr>
      </w:pPr>
      <w:r w:rsidDel="00000000" w:rsidR="00000000" w:rsidRPr="00000000">
        <w:rPr>
          <w:rFonts w:ascii="Questrial" w:cs="Questrial" w:eastAsia="Questrial" w:hAnsi="Questrial"/>
          <w:color w:val="1E3A5F"/>
          <w:sz w:val="30"/>
          <w:szCs w:val="30"/>
          <w:rtl w:val="0"/>
        </w:rPr>
        <w:t xml:space="preserve">3.7 Puntos a verificar antes de cerrar el presupuesto</w:t>
      </w:r>
    </w:p>
    <w:p w:rsidR="00000000" w:rsidDel="00000000" w:rsidP="00000000" w:rsidRDefault="00000000" w:rsidRPr="00000000" w14:paraId="000000CA">
      <w:pPr>
        <w:spacing w:after="150"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Además de los subtotales ya calculados, quedan estos puntos a confirmar contra la lista detallada de componentes (Control de Trama) antes de considerar el presupuesto cerrado:</w:t>
      </w:r>
    </w:p>
    <w:p w:rsidR="00000000" w:rsidDel="00000000" w:rsidP="00000000" w:rsidRDefault="00000000" w:rsidRPr="00000000" w14:paraId="000000C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50" w:before="0" w:line="240" w:lineRule="auto"/>
        <w:ind w:left="720" w:right="0" w:hanging="360"/>
        <w:jc w:val="both"/>
        <w:rPr>
          <w:rFonts w:ascii="IBM Plex Sans" w:cs="IBM Plex Sans" w:eastAsia="IBM Plex Sans" w:hAnsi="IBM Plex Sans"/>
          <w:i w:val="0"/>
          <w:iCs w:val="0"/>
          <w:smallCaps w:val="0"/>
          <w:strike w:val="0"/>
          <w:color w:val="000000"/>
          <w:sz w:val="24"/>
          <w:szCs w:val="24"/>
          <w:shd w:fill="auto" w:val="clear"/>
          <w:vertAlign w:val="baseline"/>
        </w:rPr>
      </w:pPr>
      <w:r w:rsidDel="00000000" w:rsidR="00000000" w:rsidRPr="00000000">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Cable de control: conecta los 3 relés a los botones físicos del telar. Definido: cable multifilar común de 6 conductores y 1 mm², 3 m (Marcha/Pausa/Retroceder). Se descartó el cable mallado tras consultar con un profesional: la señal de contacto seco a 24 V no lo requiere en esta instalación, lo que sirve tanto para los relés como para el sensado, ya que ambos se conectan al mismo par de terminales de cada botón. Figura como ítems en la lista de componentes, dentro del Bloque A.</w:t>
      </w:r>
      <w:r w:rsidDel="00000000" w:rsidR="00000000" w:rsidRPr="00000000">
        <w:rPr>
          <w:rtl w:val="0"/>
        </w:rPr>
      </w:r>
    </w:p>
    <w:p w:rsidR="00000000" w:rsidDel="00000000" w:rsidP="00000000" w:rsidRDefault="00000000" w:rsidRPr="00000000" w14:paraId="000000C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50" w:before="0" w:line="240" w:lineRule="auto"/>
        <w:ind w:left="720" w:right="0" w:hanging="360"/>
        <w:jc w:val="left"/>
        <w:rPr>
          <w:b w:val="0"/>
          <w:bCs w:val="0"/>
          <w:i w:val="0"/>
          <w:iCs w:val="0"/>
          <w:smallCaps w:val="0"/>
          <w:strike w:val="0"/>
          <w:color w:val="000000"/>
          <w:sz w:val="24"/>
          <w:szCs w:val="24"/>
          <w:shd w:fill="auto" w:val="clear"/>
          <w:vertAlign w:val="baseline"/>
        </w:rPr>
      </w:pPr>
      <w:r w:rsidDel="00000000" w:rsidR="00000000" w:rsidRPr="00000000">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Insumos de armado: </w:t>
      </w:r>
      <w:r w:rsidDel="00000000" w:rsidR="00000000" w:rsidRPr="00000000">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estaño/soldadura</w:t>
      </w:r>
      <w:r w:rsidDel="00000000" w:rsidR="00000000" w:rsidRPr="00000000">
        <w:rPr>
          <w:rFonts w:ascii="IBM Plex Sans" w:cs="IBM Plex Sans" w:eastAsia="IBM Plex Sans" w:hAnsi="IBM Plex Sans"/>
          <w:sz w:val="24"/>
          <w:szCs w:val="24"/>
          <w:rtl w:val="0"/>
        </w:rPr>
        <w:t xml:space="preserve"> </w:t>
      </w:r>
      <w:r w:rsidDel="00000000" w:rsidR="00000000" w:rsidRPr="00000000">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y precintos/cinta aisladora. Si no están explícitamente incluidos en “Insumos materiales” ($15.000, sección 3.3), conviene dejarlo aclarado para no asumir una cobertura que no existe.</w:t>
      </w:r>
      <w:r w:rsidDel="00000000" w:rsidR="00000000" w:rsidRPr="00000000">
        <w:rPr>
          <w:rtl w:val="0"/>
        </w:rPr>
      </w:r>
    </w:p>
    <w:p w:rsidR="00000000" w:rsidDel="00000000" w:rsidP="00000000" w:rsidRDefault="00000000" w:rsidRPr="00000000" w14:paraId="000000C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5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sdt>
        <w:sdtPr>
          <w:id w:val="-707200803"/>
          <w:tag w:val="goog_rdk_1"/>
        </w:sdtPr>
        <w:sdtContent>
          <w:r w:rsidDel="00000000" w:rsidR="00000000" w:rsidRPr="00000000">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Gabinete o caja de protección: caja Roker IP65 230x300x106mm, ya comprada, para el ESP32, el módulo de relés y la fuente 220V→5V. Su precio, el de los 4 prensacables PG11 y el de las borneras ya están cargados como costo en el Bloque A de la lista de componentes.</w:t>
          </w:r>
        </w:sdtContent>
      </w:sdt>
      <w:r w:rsidDel="00000000" w:rsidR="00000000" w:rsidRPr="00000000">
        <w:rPr>
          <w:rtl w:val="0"/>
        </w:rPr>
      </w:r>
    </w:p>
    <w:p w:rsidR="00000000" w:rsidDel="00000000" w:rsidP="00000000" w:rsidRDefault="00000000" w:rsidRPr="00000000" w14:paraId="000000C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50" w:before="0" w:line="240" w:lineRule="auto"/>
        <w:ind w:left="720" w:right="0" w:hanging="360"/>
        <w:jc w:val="left"/>
        <w:rPr>
          <w:b w:val="0"/>
          <w:bCs w:val="0"/>
          <w:i w:val="0"/>
          <w:iCs w:val="0"/>
          <w:smallCaps w:val="0"/>
          <w:strike w:val="0"/>
          <w:color w:val="000000"/>
          <w:sz w:val="24"/>
          <w:szCs w:val="24"/>
          <w:shd w:fill="auto" w:val="clear"/>
          <w:vertAlign w:val="baseline"/>
        </w:rPr>
      </w:pPr>
      <w:r w:rsidDel="00000000" w:rsidR="00000000" w:rsidRPr="00000000">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Impuestos en las cotizaciones: </w:t>
      </w:r>
      <w:r w:rsidDel="00000000" w:rsidR="00000000" w:rsidRPr="00000000">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confirmar que el subtotal de componentes electrónicos ($90.866) esté tomado sobre el precio final pagado (con impuestos nacionales incluidos) y no sobre el precio neto, sobre todo en los ítems comprados por Mercado Libre.</w:t>
      </w:r>
      <w:r w:rsidDel="00000000" w:rsidR="00000000" w:rsidRPr="00000000">
        <w:rPr>
          <w:rtl w:val="0"/>
        </w:rPr>
      </w:r>
    </w:p>
    <w:p w:rsidR="00000000" w:rsidDel="00000000" w:rsidP="00000000" w:rsidRDefault="00000000" w:rsidRPr="00000000" w14:paraId="000000CF">
      <w:pPr>
        <w:pStyle w:val="Heading1"/>
        <w:spacing w:after="200" w:before="400" w:lineRule="auto"/>
        <w:rPr>
          <w:rFonts w:ascii="Questrial" w:cs="Questrial" w:eastAsia="Questrial" w:hAnsi="Questrial"/>
          <w:color w:val="1E3A5F"/>
          <w:sz w:val="38"/>
          <w:szCs w:val="38"/>
        </w:rPr>
      </w:pPr>
      <w:r w:rsidDel="00000000" w:rsidR="00000000" w:rsidRPr="00000000">
        <w:rPr>
          <w:rtl w:val="0"/>
        </w:rPr>
      </w:r>
    </w:p>
    <w:p w:rsidR="00000000" w:rsidDel="00000000" w:rsidP="00000000" w:rsidRDefault="00000000" w:rsidRPr="00000000" w14:paraId="000000D0">
      <w:pPr>
        <w:pStyle w:val="Heading1"/>
        <w:spacing w:after="200" w:before="400" w:lineRule="auto"/>
        <w:rPr>
          <w:rFonts w:ascii="Questrial" w:cs="Questrial" w:eastAsia="Questrial" w:hAnsi="Questrial"/>
          <w:color w:val="1E3A5F"/>
          <w:sz w:val="38"/>
          <w:szCs w:val="38"/>
        </w:rPr>
      </w:pPr>
      <w:r w:rsidDel="00000000" w:rsidR="00000000" w:rsidRPr="00000000">
        <w:rPr>
          <w:rFonts w:ascii="Questrial" w:cs="Questrial" w:eastAsia="Questrial" w:hAnsi="Questrial"/>
          <w:color w:val="1E3A5F"/>
          <w:sz w:val="38"/>
          <w:szCs w:val="38"/>
          <w:rtl w:val="0"/>
        </w:rPr>
        <w:t xml:space="preserve">4. Ganancia del proyecto y modalidad de inversión</w:t>
      </w:r>
    </w:p>
    <w:p w:rsidR="00000000" w:rsidDel="00000000" w:rsidP="00000000" w:rsidRDefault="00000000" w:rsidRPr="00000000" w14:paraId="000000D1">
      <w:pPr>
        <w:pStyle w:val="Heading2"/>
        <w:spacing w:after="150" w:before="300" w:lineRule="auto"/>
        <w:rPr>
          <w:rFonts w:ascii="Questrial" w:cs="Questrial" w:eastAsia="Questrial" w:hAnsi="Questrial"/>
          <w:color w:val="1E3A5F"/>
          <w:sz w:val="30"/>
          <w:szCs w:val="30"/>
        </w:rPr>
      </w:pPr>
      <w:r w:rsidDel="00000000" w:rsidR="00000000" w:rsidRPr="00000000">
        <w:rPr>
          <w:rFonts w:ascii="Questrial" w:cs="Questrial" w:eastAsia="Questrial" w:hAnsi="Questrial"/>
          <w:color w:val="1E3A5F"/>
          <w:sz w:val="30"/>
          <w:szCs w:val="30"/>
          <w:rtl w:val="0"/>
        </w:rPr>
        <w:t xml:space="preserve">4.1 Ganancia proyectada</w:t>
      </w:r>
    </w:p>
    <w:p w:rsidR="00000000" w:rsidDel="00000000" w:rsidP="00000000" w:rsidRDefault="00000000" w:rsidRPr="00000000" w14:paraId="000000D2">
      <w:pPr>
        <w:spacing w:after="150"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Sobre un costo total del proyecto de $24.728.537 (personal + componentes + gastos varios), se aplica un margen del 25%, lo que deja una ganancia proyectada de $6.182.134 sobre un presupuesto final de $30.910.671.</w:t>
      </w:r>
    </w:p>
    <w:p w:rsidR="00000000" w:rsidDel="00000000" w:rsidP="00000000" w:rsidRDefault="00000000" w:rsidRPr="00000000" w14:paraId="000000D3">
      <w:pPr>
        <w:spacing w:after="150"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Este margen es el mismo que ya definía la plantilla original del proyecto (25%) y funciona como colchón para imprevistos y como excedente/ganancia del equipo, no solo como cobertura de costos.</w:t>
      </w:r>
    </w:p>
    <w:p w:rsidR="00000000" w:rsidDel="00000000" w:rsidP="00000000" w:rsidRDefault="00000000" w:rsidRPr="00000000" w14:paraId="000000D4">
      <w:pPr>
        <w:pStyle w:val="Heading2"/>
        <w:spacing w:after="150" w:before="300" w:lineRule="auto"/>
        <w:rPr>
          <w:rFonts w:ascii="Questrial" w:cs="Questrial" w:eastAsia="Questrial" w:hAnsi="Questrial"/>
          <w:color w:val="1E3A5F"/>
          <w:sz w:val="30"/>
          <w:szCs w:val="30"/>
        </w:rPr>
      </w:pPr>
      <w:r w:rsidDel="00000000" w:rsidR="00000000" w:rsidRPr="00000000">
        <w:rPr>
          <w:rFonts w:ascii="Questrial" w:cs="Questrial" w:eastAsia="Questrial" w:hAnsi="Questrial"/>
          <w:color w:val="1E3A5F"/>
          <w:sz w:val="30"/>
          <w:szCs w:val="30"/>
          <w:rtl w:val="0"/>
        </w:rPr>
        <w:t xml:space="preserve">4.2 Modalidad de inversión (propuesta a definir por el equipo)</w:t>
      </w:r>
    </w:p>
    <w:p w:rsidR="00000000" w:rsidDel="00000000" w:rsidP="00000000" w:rsidRDefault="00000000" w:rsidRPr="00000000" w14:paraId="000000D5">
      <w:pPr>
        <w:spacing w:after="150"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El componente de mayor peso en el presupuesto es el costo de personal, que en un proyecto no se paga en efectivo, sino que representa el valor del trabajo invertido por cada integrante (es la referencia usada para dimensionar el esfuerzo, no un pago real). El desembolso de dinero real del proyecto se concentra en:</w:t>
      </w:r>
    </w:p>
    <w:p w:rsidR="00000000" w:rsidDel="00000000" w:rsidP="00000000" w:rsidRDefault="00000000" w:rsidRPr="00000000" w14:paraId="000000D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r w:rsidDel="00000000" w:rsidR="00000000" w:rsidRPr="00000000">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Componentes electrónicos: $90.866, distribuidos en los Bloques A, C y D. El Bloque A está prácticamente completo; los Bloques C y D se compran después de medir el telar.</w:t>
      </w:r>
      <w:r w:rsidDel="00000000" w:rsidR="00000000" w:rsidRPr="00000000">
        <w:rPr>
          <w:rtl w:val="0"/>
        </w:rPr>
      </w:r>
    </w:p>
    <w:p w:rsidR="00000000" w:rsidDel="00000000" w:rsidP="00000000" w:rsidRDefault="00000000" w:rsidRPr="00000000" w14:paraId="000000D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r w:rsidDel="00000000" w:rsidR="00000000" w:rsidRPr="00000000">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Gastos varios/operativos: $109.675 (internet, insumos, entrega).</w:t>
      </w:r>
      <w:r w:rsidDel="00000000" w:rsidR="00000000" w:rsidRPr="00000000">
        <w:rPr>
          <w:rtl w:val="0"/>
        </w:rPr>
      </w:r>
    </w:p>
    <w:p w:rsidR="00000000" w:rsidDel="00000000" w:rsidP="00000000" w:rsidRDefault="00000000" w:rsidRPr="00000000" w14:paraId="000000D8">
      <w:pPr>
        <w:spacing w:after="150"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Se proponen las siguientes alternativas de modalidad de inversión, a confirmar con el equipo y/o la institución:</w:t>
      </w:r>
    </w:p>
    <w:p w:rsidR="00000000" w:rsidDel="00000000" w:rsidP="00000000" w:rsidRDefault="00000000" w:rsidRPr="00000000" w14:paraId="000000D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50" w:before="0" w:line="240" w:lineRule="auto"/>
        <w:ind w:left="720" w:right="0" w:hanging="360"/>
        <w:jc w:val="left"/>
        <w:rPr>
          <w:b w:val="0"/>
          <w:bCs w:val="0"/>
          <w:i w:val="0"/>
          <w:iCs w:val="0"/>
          <w:smallCaps w:val="0"/>
          <w:strike w:val="0"/>
          <w:color w:val="000000"/>
          <w:sz w:val="24"/>
          <w:szCs w:val="24"/>
          <w:shd w:fill="auto" w:val="clear"/>
          <w:vertAlign w:val="baseline"/>
        </w:rPr>
      </w:pPr>
      <w:r w:rsidDel="00000000" w:rsidR="00000000" w:rsidRPr="00000000">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Aporte igualitario entre integrantes: </w:t>
      </w:r>
      <w:r w:rsidDel="00000000" w:rsidR="00000000" w:rsidRPr="00000000">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cada miembro del equipo aporta una parte proporcional del costo real de componentes y gastos varios (no del costo de personal, que es horas de trabajo, no dinero).</w:t>
      </w:r>
      <w:r w:rsidDel="00000000" w:rsidR="00000000" w:rsidRPr="00000000">
        <w:rPr>
          <w:rtl w:val="0"/>
        </w:rPr>
      </w:r>
    </w:p>
    <w:p w:rsidR="00000000" w:rsidDel="00000000" w:rsidP="00000000" w:rsidRDefault="00000000" w:rsidRPr="00000000" w14:paraId="000000D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50" w:before="0" w:line="240" w:lineRule="auto"/>
        <w:ind w:left="720" w:right="0" w:hanging="360"/>
        <w:jc w:val="left"/>
        <w:rPr>
          <w:b w:val="0"/>
          <w:bCs w:val="0"/>
          <w:i w:val="0"/>
          <w:iCs w:val="0"/>
          <w:smallCaps w:val="0"/>
          <w:strike w:val="0"/>
          <w:color w:val="000000"/>
          <w:sz w:val="24"/>
          <w:szCs w:val="24"/>
          <w:shd w:fill="auto" w:val="clear"/>
          <w:vertAlign w:val="baseline"/>
        </w:rPr>
      </w:pPr>
      <w:r w:rsidDel="00000000" w:rsidR="00000000" w:rsidRPr="00000000">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Financiamiento institucional: </w:t>
      </w:r>
      <w:r w:rsidDel="00000000" w:rsidR="00000000" w:rsidRPr="00000000">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un sponsor cubre la compra de componentes, y el proyecto queda como propiedad institucional al finalizar.</w:t>
      </w:r>
      <w:r w:rsidDel="00000000" w:rsidR="00000000" w:rsidRPr="00000000">
        <w:rPr>
          <w:rtl w:val="0"/>
        </w:rPr>
      </w:r>
    </w:p>
    <w:p w:rsidR="00000000" w:rsidDel="00000000" w:rsidP="00000000" w:rsidRDefault="00000000" w:rsidRPr="00000000" w14:paraId="000000D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50" w:before="0" w:line="240" w:lineRule="auto"/>
        <w:ind w:left="720" w:right="0" w:hanging="360"/>
        <w:jc w:val="left"/>
        <w:rPr>
          <w:b w:val="0"/>
          <w:bCs w:val="0"/>
          <w:i w:val="0"/>
          <w:iCs w:val="0"/>
          <w:smallCaps w:val="0"/>
          <w:strike w:val="0"/>
          <w:color w:val="000000"/>
          <w:sz w:val="24"/>
          <w:szCs w:val="24"/>
          <w:shd w:fill="auto" w:val="clear"/>
          <w:vertAlign w:val="baseline"/>
        </w:rPr>
      </w:pPr>
      <w:r w:rsidDel="00000000" w:rsidR="00000000" w:rsidRPr="00000000">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Mixta: </w:t>
      </w:r>
      <w:r w:rsidDel="00000000" w:rsidR="00000000" w:rsidRPr="00000000">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aporte inicial del equipo para el Bloque A (arranque de la Etapa 4) y gestión de financiamiento externo para los Bloques C y D (los más caros), una vez confirmada la medición del telar.</w:t>
      </w:r>
      <w:r w:rsidDel="00000000" w:rsidR="00000000" w:rsidRPr="00000000">
        <w:rPr>
          <w:rtl w:val="0"/>
        </w:rPr>
      </w:r>
    </w:p>
    <w:p w:rsidR="00000000" w:rsidDel="00000000" w:rsidP="00000000" w:rsidRDefault="00000000" w:rsidRPr="00000000" w14:paraId="000000DC">
      <w:pPr>
        <w:spacing w:after="150"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La recuperación de la inversión (si aplica) se referencia contra el presupuesto final con margen, no contra el costo puro: la diferencia entre ambos es, justamente, la ganancia calculada.</w:t>
      </w:r>
    </w:p>
    <w:p w:rsidR="00000000" w:rsidDel="00000000" w:rsidP="00000000" w:rsidRDefault="00000000" w:rsidRPr="00000000" w14:paraId="000000DD">
      <w:pPr>
        <w:pStyle w:val="Heading1"/>
        <w:spacing w:after="200" w:before="400" w:lineRule="auto"/>
        <w:rPr>
          <w:rFonts w:ascii="Questrial" w:cs="Questrial" w:eastAsia="Questrial" w:hAnsi="Questrial"/>
          <w:sz w:val="38"/>
          <w:szCs w:val="38"/>
        </w:rPr>
      </w:pPr>
      <w:r w:rsidDel="00000000" w:rsidR="00000000" w:rsidRPr="00000000">
        <w:rPr>
          <w:rtl w:val="0"/>
        </w:rPr>
      </w:r>
    </w:p>
    <w:p w:rsidR="00000000" w:rsidDel="00000000" w:rsidP="00000000" w:rsidRDefault="00000000" w:rsidRPr="00000000" w14:paraId="000000DE">
      <w:pPr>
        <w:pStyle w:val="Heading1"/>
        <w:spacing w:after="200" w:before="400" w:lineRule="auto"/>
        <w:rPr>
          <w:rFonts w:ascii="Questrial" w:cs="Questrial" w:eastAsia="Questrial" w:hAnsi="Questrial"/>
          <w:color w:val="1E3A5F"/>
          <w:sz w:val="38"/>
          <w:szCs w:val="38"/>
        </w:rPr>
      </w:pPr>
      <w:r w:rsidDel="00000000" w:rsidR="00000000" w:rsidRPr="00000000">
        <w:rPr>
          <w:rFonts w:ascii="Questrial" w:cs="Questrial" w:eastAsia="Questrial" w:hAnsi="Questrial"/>
          <w:color w:val="1E3A5F"/>
          <w:sz w:val="38"/>
          <w:szCs w:val="38"/>
          <w:rtl w:val="0"/>
        </w:rPr>
        <w:t xml:space="preserve">5. Contrato y garantía</w:t>
      </w:r>
    </w:p>
    <w:p w:rsidR="00000000" w:rsidDel="00000000" w:rsidP="00000000" w:rsidRDefault="00000000" w:rsidRPr="00000000" w14:paraId="000000DF">
      <w:pPr>
        <w:spacing w:after="150"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La Documentación de Proyecto ya define Objetivo, Alcance, Plazos, Responsabilidades, Criterios de aceptación y Condiciones de modificación. Ese apartado no incluye una cláusula de Garantía, así que este documento la agrega como complemento. No se incluyen datos personales de integrantes, clientes ni terceros, ni se desarrolla el marco de la Ley de Protección de Datos Personales, por decisión del equipo.</w:t>
      </w:r>
    </w:p>
    <w:p w:rsidR="00000000" w:rsidDel="00000000" w:rsidP="00000000" w:rsidRDefault="00000000" w:rsidRPr="00000000" w14:paraId="000000E0">
      <w:pPr>
        <w:pStyle w:val="Heading2"/>
        <w:spacing w:after="150" w:before="300" w:lineRule="auto"/>
        <w:rPr>
          <w:rFonts w:ascii="Questrial" w:cs="Questrial" w:eastAsia="Questrial" w:hAnsi="Questrial"/>
          <w:color w:val="1E3A5F"/>
          <w:sz w:val="30"/>
          <w:szCs w:val="30"/>
        </w:rPr>
      </w:pPr>
      <w:r w:rsidDel="00000000" w:rsidR="00000000" w:rsidRPr="00000000">
        <w:rPr>
          <w:rFonts w:ascii="Questrial" w:cs="Questrial" w:eastAsia="Questrial" w:hAnsi="Questrial"/>
          <w:color w:val="1E3A5F"/>
          <w:sz w:val="30"/>
          <w:szCs w:val="30"/>
          <w:rtl w:val="0"/>
        </w:rPr>
        <w:t xml:space="preserve">5.1 Garantía propuesta</w:t>
      </w:r>
    </w:p>
    <w:p w:rsidR="00000000" w:rsidDel="00000000" w:rsidP="00000000" w:rsidRDefault="00000000" w:rsidRPr="00000000" w14:paraId="000000E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b w:val="0"/>
          <w:bCs w:val="0"/>
          <w:i w:val="0"/>
          <w:iCs w:val="0"/>
          <w:smallCaps w:val="0"/>
          <w:strike w:val="0"/>
          <w:color w:val="000000"/>
          <w:sz w:val="24"/>
          <w:szCs w:val="24"/>
          <w:shd w:fill="auto" w:val="clear"/>
          <w:vertAlign w:val="baseline"/>
        </w:rPr>
      </w:pPr>
      <w:r w:rsidDel="00000000" w:rsidR="00000000" w:rsidRPr="00000000">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Alcance: </w:t>
      </w:r>
      <w:r w:rsidDel="00000000" w:rsidR="00000000" w:rsidRPr="00000000">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cubre el nodo ESP32 con su etapa de potencia y protecciones, el firmware cargado, y la integración con la base de datos PostgreSQL (Neon) y la interfaz web, tal como se entregan al aprobar el criterio de aceptación (prueba de 48 horas continuas).</w:t>
      </w:r>
      <w:r w:rsidDel="00000000" w:rsidR="00000000" w:rsidRPr="00000000">
        <w:rPr>
          <w:rtl w:val="0"/>
        </w:rPr>
      </w:r>
    </w:p>
    <w:p w:rsidR="00000000" w:rsidDel="00000000" w:rsidP="00000000" w:rsidRDefault="00000000" w:rsidRPr="00000000" w14:paraId="000000E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rFonts w:ascii="IBM Plex Sans" w:cs="IBM Plex Sans" w:eastAsia="IBM Plex Sans" w:hAnsi="IBM Plex Sans"/>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E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b w:val="0"/>
          <w:bCs w:val="0"/>
          <w:i w:val="0"/>
          <w:iCs w:val="0"/>
          <w:smallCaps w:val="0"/>
          <w:strike w:val="0"/>
          <w:color w:val="000000"/>
          <w:sz w:val="24"/>
          <w:szCs w:val="24"/>
          <w:shd w:fill="auto" w:val="clear"/>
          <w:vertAlign w:val="baseline"/>
        </w:rPr>
      </w:pPr>
      <w:r w:rsidDel="00000000" w:rsidR="00000000" w:rsidRPr="00000000">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Exclusiones: </w:t>
      </w:r>
      <w:r w:rsidDel="00000000" w:rsidR="00000000" w:rsidRPr="00000000">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mal uso, modificaciones no autorizadas del sistema, intervención sobre la estructura de engranajes o motores del telar (explícitamente fuera del alcance), y fallas de fábrica en componentes de terceros (cubiertas, en su caso, por la garantía del fabricante/vendedor original de cada componente).</w:t>
      </w:r>
      <w:r w:rsidDel="00000000" w:rsidR="00000000" w:rsidRPr="00000000">
        <w:rPr>
          <w:rtl w:val="0"/>
        </w:rPr>
      </w:r>
    </w:p>
    <w:p w:rsidR="00000000" w:rsidDel="00000000" w:rsidP="00000000" w:rsidRDefault="00000000" w:rsidRPr="00000000" w14:paraId="000000E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b w:val="0"/>
          <w:bCs w:val="0"/>
          <w:i w:val="0"/>
          <w:iCs w:val="0"/>
          <w:smallCaps w:val="0"/>
          <w:strike w:val="0"/>
          <w:color w:val="000000"/>
          <w:sz w:val="24"/>
          <w:szCs w:val="24"/>
          <w:shd w:fill="auto" w:val="clear"/>
          <w:vertAlign w:val="baseline"/>
        </w:rPr>
      </w:pPr>
      <w:r w:rsidDel="00000000" w:rsidR="00000000" w:rsidRPr="00000000">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Vigencia: </w:t>
      </w:r>
      <w:r w:rsidDel="00000000" w:rsidR="00000000" w:rsidRPr="00000000">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a definir por el equipo y la cátedra (por ejemplo, un período acotado posterior a la fecha de aceptación, en línea con el cierre de proyecto previsto para el 14/11/2026). Conviene cerrar este valor concreto antes de la 3ra presentación (mediados de septiembre), tal como se indica en la Conclusión.</w:t>
      </w:r>
      <w:r w:rsidDel="00000000" w:rsidR="00000000" w:rsidRPr="00000000">
        <w:rPr>
          <w:rtl w:val="0"/>
        </w:rPr>
      </w:r>
    </w:p>
    <w:p w:rsidR="00000000" w:rsidDel="00000000" w:rsidP="00000000" w:rsidRDefault="00000000" w:rsidRPr="00000000" w14:paraId="000000E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40" w:lineRule="auto"/>
        <w:ind w:left="720" w:right="0" w:hanging="360"/>
        <w:jc w:val="left"/>
        <w:rPr>
          <w:rFonts w:ascii="IBM Plex Sans" w:cs="IBM Plex Sans" w:eastAsia="IBM Plex Sans" w:hAnsi="IBM Plex Sans"/>
          <w:b w:val="0"/>
          <w:bCs w:val="0"/>
          <w:i w:val="0"/>
          <w:iCs w:val="0"/>
          <w:smallCaps w:val="0"/>
          <w:strike w:val="0"/>
          <w:color w:val="000000"/>
          <w:sz w:val="24"/>
          <w:szCs w:val="24"/>
          <w:shd w:fill="auto" w:val="clear"/>
          <w:vertAlign w:val="baseline"/>
        </w:rPr>
      </w:pPr>
      <w:r w:rsidDel="00000000" w:rsidR="00000000" w:rsidRPr="00000000">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Soporte posterior: </w:t>
      </w:r>
      <w:r w:rsidDel="00000000" w:rsidR="00000000" w:rsidRPr="00000000">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corrección de errores de software/firmware durante la vigencia de la garantía; coincide con la primera de las "Oportunidades de Negocio" (abono mensual de soporte técnico posterior al piloto).</w:t>
      </w:r>
      <w:r w:rsidDel="00000000" w:rsidR="00000000" w:rsidRPr="00000000">
        <w:rPr>
          <w:rtl w:val="0"/>
        </w:rPr>
      </w:r>
    </w:p>
    <w:p w:rsidR="00000000" w:rsidDel="00000000" w:rsidP="00000000" w:rsidRDefault="00000000" w:rsidRPr="00000000" w14:paraId="000000E6">
      <w:pPr>
        <w:spacing w:after="200" w:lineRule="auto"/>
        <w:rPr>
          <w:rFonts w:ascii="IBM Plex Sans" w:cs="IBM Plex Sans" w:eastAsia="IBM Plex Sans" w:hAnsi="IBM Plex Sans"/>
          <w:sz w:val="24"/>
          <w:szCs w:val="24"/>
        </w:rPr>
      </w:pPr>
      <w:r w:rsidDel="00000000" w:rsidR="00000000" w:rsidRPr="00000000">
        <w:rPr>
          <w:rtl w:val="0"/>
        </w:rPr>
      </w:r>
    </w:p>
    <w:p w:rsidR="00000000" w:rsidDel="00000000" w:rsidP="00000000" w:rsidRDefault="00000000" w:rsidRPr="00000000" w14:paraId="000000E7">
      <w:pPr>
        <w:pStyle w:val="Heading1"/>
        <w:spacing w:after="200" w:before="400" w:lineRule="auto"/>
        <w:rPr>
          <w:rFonts w:ascii="Questrial" w:cs="Questrial" w:eastAsia="Questrial" w:hAnsi="Questrial"/>
          <w:color w:val="1E3A5F"/>
          <w:sz w:val="38"/>
          <w:szCs w:val="38"/>
        </w:rPr>
      </w:pPr>
      <w:r w:rsidDel="00000000" w:rsidR="00000000" w:rsidRPr="00000000">
        <w:rPr>
          <w:rFonts w:ascii="Questrial" w:cs="Questrial" w:eastAsia="Questrial" w:hAnsi="Questrial"/>
          <w:color w:val="1E3A5F"/>
          <w:sz w:val="38"/>
          <w:szCs w:val="38"/>
          <w:rtl w:val="0"/>
        </w:rPr>
        <w:t xml:space="preserve">6. Servicio de mantenimiento y vida útil</w:t>
      </w:r>
    </w:p>
    <w:p w:rsidR="00000000" w:rsidDel="00000000" w:rsidP="00000000" w:rsidRDefault="00000000" w:rsidRPr="00000000" w14:paraId="000000E8">
      <w:pPr>
        <w:spacing w:after="150"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Además de la garantía (Sección 5), se propone un servicio de mantenimiento pago que extiende la relación con el cliente más allá de la entrega. Es la principal vía de ingreso recurrente del proyecto: a diferencia de la venta única del sistema, un abono genera facturación mes a mes.</w:t>
      </w:r>
    </w:p>
    <w:p w:rsidR="00000000" w:rsidDel="00000000" w:rsidP="00000000" w:rsidRDefault="00000000" w:rsidRPr="00000000" w14:paraId="000000E9">
      <w:pPr>
        <w:pStyle w:val="Heading2"/>
        <w:spacing w:after="150" w:before="300" w:lineRule="auto"/>
        <w:rPr>
          <w:rFonts w:ascii="Questrial" w:cs="Questrial" w:eastAsia="Questrial" w:hAnsi="Questrial"/>
          <w:color w:val="1E3A5F"/>
          <w:sz w:val="30"/>
          <w:szCs w:val="30"/>
        </w:rPr>
      </w:pPr>
      <w:r w:rsidDel="00000000" w:rsidR="00000000" w:rsidRPr="00000000">
        <w:rPr>
          <w:rFonts w:ascii="Questrial" w:cs="Questrial" w:eastAsia="Questrial" w:hAnsi="Questrial"/>
          <w:color w:val="1E3A5F"/>
          <w:sz w:val="30"/>
          <w:szCs w:val="30"/>
          <w:rtl w:val="0"/>
        </w:rPr>
        <w:t xml:space="preserve">6.1 Vida útil de los componentes</w:t>
      </w:r>
    </w:p>
    <w:p w:rsidR="00000000" w:rsidDel="00000000" w:rsidP="00000000" w:rsidRDefault="00000000" w:rsidRPr="00000000" w14:paraId="000000EA">
      <w:pPr>
        <w:spacing w:after="150"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Los valores de vida útil que siguen provienen de las hojas de datos de los fabricantes y son estimaciones estándar de la industria, no mediciones sobre este telar en particular. La vida real depende del uso: un telar que arranca y para muchas veces por turno desgasta los relés más rápido que uno de marcha continua.</w:t>
      </w:r>
    </w:p>
    <w:p w:rsidR="00000000" w:rsidDel="00000000" w:rsidP="00000000" w:rsidRDefault="00000000" w:rsidRPr="00000000" w14:paraId="000000EB">
      <w:pPr>
        <w:spacing w:after="150" w:lineRule="auto"/>
        <w:rPr>
          <w:rFonts w:ascii="IBM Plex Sans" w:cs="IBM Plex Sans" w:eastAsia="IBM Plex Sans" w:hAnsi="IBM Plex Sans"/>
          <w:sz w:val="24"/>
          <w:szCs w:val="24"/>
        </w:rPr>
      </w:pPr>
      <w:r w:rsidDel="00000000" w:rsidR="00000000" w:rsidRPr="00000000">
        <w:rPr>
          <w:rtl w:val="0"/>
        </w:rPr>
      </w:r>
    </w:p>
    <w:tbl>
      <w:tblPr>
        <w:tblStyle w:val="Table5"/>
        <w:tblW w:w="144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690"/>
        <w:gridCol w:w="6120"/>
        <w:gridCol w:w="4605"/>
        <w:tblGridChange w:id="0">
          <w:tblGrid>
            <w:gridCol w:w="3690"/>
            <w:gridCol w:w="6120"/>
            <w:gridCol w:w="4605"/>
          </w:tblGrid>
        </w:tblGridChange>
      </w:tblGrid>
      <w:tr>
        <w:trPr>
          <w:cantSplit w:val="0"/>
          <w:trHeight w:val="360" w:hRule="atLeast"/>
          <w:tblHeader w:val="0"/>
        </w:trPr>
        <w:tc>
          <w:tcPr>
            <w:tcBorders>
              <w:top w:color="1E3A5F" w:space="0" w:sz="8" w:val="single"/>
              <w:left w:color="1E3A5F" w:space="0" w:sz="8" w:val="single"/>
              <w:bottom w:color="1E3A5F" w:space="0" w:sz="8" w:val="single"/>
              <w:right w:color="1E3A5F" w:space="0" w:sz="8" w:val="single"/>
            </w:tcBorders>
            <w:shd w:fill="1E3A5F" w:val="clear"/>
            <w:tcMar>
              <w:top w:w="0.0" w:type="dxa"/>
              <w:left w:w="100.0" w:type="dxa"/>
              <w:bottom w:w="0.0" w:type="dxa"/>
              <w:right w:w="100.0" w:type="dxa"/>
            </w:tcMar>
            <w:vAlign w:val="top"/>
          </w:tcPr>
          <w:p w:rsidR="00000000" w:rsidDel="00000000" w:rsidP="00000000" w:rsidRDefault="00000000" w:rsidRPr="00000000" w14:paraId="000000EC">
            <w:pPr>
              <w:jc w:val="center"/>
              <w:rPr>
                <w:rFonts w:ascii="IBM Plex Sans" w:cs="IBM Plex Sans" w:eastAsia="IBM Plex Sans" w:hAnsi="IBM Plex Sans"/>
                <w:b w:val="1"/>
                <w:bCs w:val="1"/>
                <w:color w:val="ffffff"/>
                <w:sz w:val="28"/>
                <w:szCs w:val="28"/>
              </w:rPr>
            </w:pPr>
            <w:r w:rsidDel="00000000" w:rsidR="00000000" w:rsidRPr="00000000">
              <w:rPr>
                <w:rFonts w:ascii="IBM Plex Sans" w:cs="IBM Plex Sans" w:eastAsia="IBM Plex Sans" w:hAnsi="IBM Plex Sans"/>
                <w:b w:val="1"/>
                <w:bCs w:val="1"/>
                <w:color w:val="ffffff"/>
                <w:sz w:val="28"/>
                <w:szCs w:val="28"/>
                <w:rtl w:val="0"/>
              </w:rPr>
              <w:t xml:space="preserve">Componente</w:t>
            </w:r>
          </w:p>
        </w:tc>
        <w:tc>
          <w:tcPr>
            <w:tcBorders>
              <w:top w:color="1E3A5F" w:space="0" w:sz="8" w:val="single"/>
              <w:left w:color="1E3A5F" w:space="0" w:sz="8" w:val="single"/>
              <w:bottom w:color="1E3A5F" w:space="0" w:sz="8" w:val="single"/>
              <w:right w:color="1E3A5F" w:space="0" w:sz="8" w:val="single"/>
            </w:tcBorders>
            <w:shd w:fill="1E3A5F" w:val="clear"/>
            <w:tcMar>
              <w:top w:w="0.0" w:type="dxa"/>
              <w:left w:w="100.0" w:type="dxa"/>
              <w:bottom w:w="0.0" w:type="dxa"/>
              <w:right w:w="100.0" w:type="dxa"/>
            </w:tcMar>
            <w:vAlign w:val="top"/>
          </w:tcPr>
          <w:p w:rsidR="00000000" w:rsidDel="00000000" w:rsidP="00000000" w:rsidRDefault="00000000" w:rsidRPr="00000000" w14:paraId="000000ED">
            <w:pPr>
              <w:jc w:val="center"/>
              <w:rPr>
                <w:rFonts w:ascii="IBM Plex Sans" w:cs="IBM Plex Sans" w:eastAsia="IBM Plex Sans" w:hAnsi="IBM Plex Sans"/>
                <w:b w:val="1"/>
                <w:bCs w:val="1"/>
                <w:color w:val="ffffff"/>
                <w:sz w:val="28"/>
                <w:szCs w:val="28"/>
              </w:rPr>
            </w:pPr>
            <w:r w:rsidDel="00000000" w:rsidR="00000000" w:rsidRPr="00000000">
              <w:rPr>
                <w:rFonts w:ascii="IBM Plex Sans" w:cs="IBM Plex Sans" w:eastAsia="IBM Plex Sans" w:hAnsi="IBM Plex Sans"/>
                <w:b w:val="1"/>
                <w:bCs w:val="1"/>
                <w:color w:val="ffffff"/>
                <w:sz w:val="28"/>
                <w:szCs w:val="28"/>
                <w:rtl w:val="0"/>
              </w:rPr>
              <w:t xml:space="preserve">Vida útil estimada</w:t>
            </w:r>
          </w:p>
        </w:tc>
        <w:tc>
          <w:tcPr>
            <w:tcBorders>
              <w:top w:color="1E3A5F" w:space="0" w:sz="8" w:val="single"/>
              <w:left w:color="1E3A5F" w:space="0" w:sz="8" w:val="single"/>
              <w:bottom w:color="1E3A5F" w:space="0" w:sz="8" w:val="single"/>
              <w:right w:color="1E3A5F" w:space="0" w:sz="8" w:val="single"/>
            </w:tcBorders>
            <w:shd w:fill="1E3A5F" w:val="clear"/>
            <w:tcMar>
              <w:top w:w="0.0" w:type="dxa"/>
              <w:left w:w="100.0" w:type="dxa"/>
              <w:bottom w:w="0.0" w:type="dxa"/>
              <w:right w:w="100.0" w:type="dxa"/>
            </w:tcMar>
            <w:vAlign w:val="top"/>
          </w:tcPr>
          <w:p w:rsidR="00000000" w:rsidDel="00000000" w:rsidP="00000000" w:rsidRDefault="00000000" w:rsidRPr="00000000" w14:paraId="000000EE">
            <w:pPr>
              <w:jc w:val="center"/>
              <w:rPr>
                <w:rFonts w:ascii="IBM Plex Sans" w:cs="IBM Plex Sans" w:eastAsia="IBM Plex Sans" w:hAnsi="IBM Plex Sans"/>
                <w:b w:val="1"/>
                <w:bCs w:val="1"/>
                <w:color w:val="ffffff"/>
                <w:sz w:val="28"/>
                <w:szCs w:val="28"/>
              </w:rPr>
            </w:pPr>
            <w:r w:rsidDel="00000000" w:rsidR="00000000" w:rsidRPr="00000000">
              <w:rPr>
                <w:rFonts w:ascii="IBM Plex Sans" w:cs="IBM Plex Sans" w:eastAsia="IBM Plex Sans" w:hAnsi="IBM Plex Sans"/>
                <w:b w:val="1"/>
                <w:bCs w:val="1"/>
                <w:color w:val="ffffff"/>
                <w:sz w:val="28"/>
                <w:szCs w:val="28"/>
                <w:rtl w:val="0"/>
              </w:rPr>
              <w:t xml:space="preserve">Qué hacer</w:t>
            </w:r>
          </w:p>
        </w:tc>
      </w:tr>
      <w:tr>
        <w:trPr>
          <w:cantSplit w:val="0"/>
          <w:trHeight w:val="1275" w:hRule="atLeast"/>
          <w:tblHeader w:val="0"/>
        </w:trPr>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0EF">
            <w:pPr>
              <w:rPr>
                <w:rFonts w:ascii="IBM Plex Sans" w:cs="IBM Plex Sans" w:eastAsia="IBM Plex Sans" w:hAnsi="IBM Plex Sans"/>
                <w:b w:val="1"/>
                <w:bCs w:val="1"/>
                <w:sz w:val="24"/>
                <w:szCs w:val="24"/>
              </w:rPr>
            </w:pPr>
            <w:r w:rsidDel="00000000" w:rsidR="00000000" w:rsidRPr="00000000">
              <w:rPr>
                <w:rFonts w:ascii="IBM Plex Sans" w:cs="IBM Plex Sans" w:eastAsia="IBM Plex Sans" w:hAnsi="IBM Plex Sans"/>
                <w:b w:val="1"/>
                <w:bCs w:val="1"/>
                <w:sz w:val="24"/>
                <w:szCs w:val="24"/>
                <w:rtl w:val="0"/>
              </w:rPr>
              <w:t xml:space="preserve">Módulo de relés (6 canales)</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0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~100.000</w:t>
            </w:r>
          </w:p>
          <w:p w:rsidR="00000000" w:rsidDel="00000000" w:rsidP="00000000" w:rsidRDefault="00000000" w:rsidRPr="00000000" w14:paraId="000000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  maniobras mecánicas (dato del relé Songle SRD-05VDC). A 20 arranques/pausas</w:t>
            </w:r>
          </w:p>
          <w:p w:rsidR="00000000" w:rsidDel="00000000" w:rsidP="00000000" w:rsidRDefault="00000000" w:rsidRPr="00000000" w14:paraId="000000F2">
            <w:pPr>
              <w:rPr>
                <w:rFonts w:ascii="IBM Plex Sans" w:cs="IBM Plex Sans" w:eastAsia="IBM Plex Sans" w:hAnsi="IBM Plex Sans"/>
                <w:sz w:val="24"/>
                <w:szCs w:val="24"/>
              </w:rPr>
            </w:pPr>
            <w:sdt>
              <w:sdtPr>
                <w:id w:val="-740953440"/>
                <w:tag w:val="goog_rdk_2"/>
              </w:sdtPr>
              <w:sdtContent>
                <w:r w:rsidDel="00000000" w:rsidR="00000000" w:rsidRPr="00000000">
                  <w:rPr>
                    <w:rFonts w:ascii="IBM Plex Sans" w:cs="IBM Plex Sans" w:eastAsia="IBM Plex Sans" w:hAnsi="IBM Plex Sans"/>
                    <w:sz w:val="24"/>
                    <w:szCs w:val="24"/>
                    <w:rtl w:val="0"/>
                  </w:rPr>
                  <w:t xml:space="preserve">  por turno ≈ 10 años</w:t>
                </w:r>
              </w:sdtContent>
            </w:sdt>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0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Reemplazo</w:t>
            </w:r>
          </w:p>
          <w:p w:rsidR="00000000" w:rsidDel="00000000" w:rsidP="00000000" w:rsidRDefault="00000000" w:rsidRPr="00000000" w14:paraId="000000F4">
            <w:pPr>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  preventivo si se escucha el clic irregular o falla algún canal</w:t>
            </w:r>
          </w:p>
        </w:tc>
      </w:tr>
      <w:tr>
        <w:trPr>
          <w:cantSplit w:val="0"/>
          <w:trHeight w:val="1185" w:hRule="atLeast"/>
          <w:tblHeader w:val="0"/>
        </w:trPr>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0F5">
            <w:pPr>
              <w:rPr>
                <w:rFonts w:ascii="IBM Plex Sans" w:cs="IBM Plex Sans" w:eastAsia="IBM Plex Sans" w:hAnsi="IBM Plex Sans"/>
                <w:b w:val="1"/>
                <w:bCs w:val="1"/>
                <w:sz w:val="24"/>
                <w:szCs w:val="24"/>
              </w:rPr>
            </w:pPr>
            <w:r w:rsidDel="00000000" w:rsidR="00000000" w:rsidRPr="00000000">
              <w:rPr>
                <w:rFonts w:ascii="IBM Plex Sans" w:cs="IBM Plex Sans" w:eastAsia="IBM Plex Sans" w:hAnsi="IBM Plex Sans"/>
                <w:b w:val="1"/>
                <w:bCs w:val="1"/>
                <w:sz w:val="24"/>
                <w:szCs w:val="24"/>
                <w:rtl w:val="0"/>
              </w:rPr>
              <w:t xml:space="preserve">Fuente HLK-5M05</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0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Vida típica de</w:t>
            </w:r>
          </w:p>
          <w:p w:rsidR="00000000" w:rsidDel="00000000" w:rsidP="00000000" w:rsidRDefault="00000000" w:rsidRPr="00000000" w14:paraId="000000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  fuente conmutada: 5-8 años en uso continuo. Los capacitores internos son lo</w:t>
            </w:r>
          </w:p>
          <w:p w:rsidR="00000000" w:rsidDel="00000000" w:rsidP="00000000" w:rsidRDefault="00000000" w:rsidRPr="00000000" w14:paraId="000000F8">
            <w:pPr>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  primero que se degrada</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0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Medir la salida</w:t>
            </w:r>
          </w:p>
          <w:p w:rsidR="00000000" w:rsidDel="00000000" w:rsidP="00000000" w:rsidRDefault="00000000" w:rsidRPr="00000000" w14:paraId="000000FA">
            <w:pPr>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  (debe dar 5V estables). Cambiar si baja de 4,7V o fluctúa</w:t>
            </w:r>
          </w:p>
        </w:tc>
      </w:tr>
      <w:tr>
        <w:trPr>
          <w:cantSplit w:val="0"/>
          <w:trHeight w:val="675" w:hRule="atLeast"/>
          <w:tblHeader w:val="0"/>
        </w:trPr>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0FB">
            <w:pPr>
              <w:rPr>
                <w:rFonts w:ascii="IBM Plex Sans" w:cs="IBM Plex Sans" w:eastAsia="IBM Plex Sans" w:hAnsi="IBM Plex Sans"/>
                <w:b w:val="1"/>
                <w:bCs w:val="1"/>
                <w:sz w:val="24"/>
                <w:szCs w:val="24"/>
              </w:rPr>
            </w:pPr>
            <w:r w:rsidDel="00000000" w:rsidR="00000000" w:rsidRPr="00000000">
              <w:rPr>
                <w:rFonts w:ascii="IBM Plex Sans" w:cs="IBM Plex Sans" w:eastAsia="IBM Plex Sans" w:hAnsi="IBM Plex Sans"/>
                <w:b w:val="1"/>
                <w:bCs w:val="1"/>
                <w:sz w:val="24"/>
                <w:szCs w:val="24"/>
                <w:rtl w:val="0"/>
              </w:rPr>
              <w:t xml:space="preserve">ESP32</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0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Sin partes</w:t>
            </w:r>
          </w:p>
          <w:p w:rsidR="00000000" w:rsidDel="00000000" w:rsidP="00000000" w:rsidRDefault="00000000" w:rsidRPr="00000000" w14:paraId="000000FD">
            <w:pPr>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  móviles: &gt;10 años si se mantiene fresco y seco dentro del gabinete</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0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Solo se reemplaza</w:t>
            </w:r>
          </w:p>
          <w:p w:rsidR="00000000" w:rsidDel="00000000" w:rsidP="00000000" w:rsidRDefault="00000000" w:rsidRPr="00000000" w14:paraId="000000FF">
            <w:pPr>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  ante falla; el riesgo real es humedad o calor, no desgaste</w:t>
            </w:r>
          </w:p>
        </w:tc>
      </w:tr>
      <w:tr>
        <w:trPr>
          <w:cantSplit w:val="0"/>
          <w:trHeight w:val="915" w:hRule="atLeast"/>
          <w:tblHeader w:val="0"/>
        </w:trPr>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100">
            <w:pPr>
              <w:rPr>
                <w:rFonts w:ascii="IBM Plex Sans" w:cs="IBM Plex Sans" w:eastAsia="IBM Plex Sans" w:hAnsi="IBM Plex Sans"/>
                <w:b w:val="1"/>
                <w:bCs w:val="1"/>
                <w:sz w:val="24"/>
                <w:szCs w:val="24"/>
              </w:rPr>
            </w:pPr>
            <w:r w:rsidDel="00000000" w:rsidR="00000000" w:rsidRPr="00000000">
              <w:rPr>
                <w:rFonts w:ascii="IBM Plex Sans" w:cs="IBM Plex Sans" w:eastAsia="IBM Plex Sans" w:hAnsi="IBM Plex Sans"/>
                <w:b w:val="1"/>
                <w:bCs w:val="1"/>
                <w:sz w:val="24"/>
                <w:szCs w:val="24"/>
                <w:rtl w:val="0"/>
              </w:rPr>
              <w:t xml:space="preserve">Optoacopladores PC817</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1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~10 años (el LED</w:t>
            </w:r>
          </w:p>
          <w:p w:rsidR="00000000" w:rsidDel="00000000" w:rsidP="00000000" w:rsidRDefault="00000000" w:rsidRPr="00000000" w14:paraId="00000102">
            <w:pPr>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  interno pierde brillo muy lentamente)</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Reemplazar si el</w:t>
            </w:r>
          </w:p>
          <w:p w:rsidR="00000000" w:rsidDel="00000000" w:rsidP="00000000" w:rsidRDefault="00000000" w:rsidRPr="00000000" w14:paraId="00000104">
            <w:pPr>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  sensado empieza a fallar de forma intermitente</w:t>
            </w:r>
          </w:p>
        </w:tc>
      </w:tr>
      <w:tr>
        <w:trPr>
          <w:cantSplit w:val="0"/>
          <w:trHeight w:val="825" w:hRule="atLeast"/>
          <w:tblHeader w:val="0"/>
        </w:trPr>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105">
            <w:pPr>
              <w:rPr>
                <w:rFonts w:ascii="IBM Plex Sans" w:cs="IBM Plex Sans" w:eastAsia="IBM Plex Sans" w:hAnsi="IBM Plex Sans"/>
                <w:b w:val="1"/>
                <w:bCs w:val="1"/>
                <w:sz w:val="24"/>
                <w:szCs w:val="24"/>
              </w:rPr>
            </w:pPr>
            <w:r w:rsidDel="00000000" w:rsidR="00000000" w:rsidRPr="00000000">
              <w:rPr>
                <w:rFonts w:ascii="IBM Plex Sans" w:cs="IBM Plex Sans" w:eastAsia="IBM Plex Sans" w:hAnsi="IBM Plex Sans"/>
                <w:b w:val="1"/>
                <w:bCs w:val="1"/>
                <w:sz w:val="24"/>
                <w:szCs w:val="24"/>
                <w:rtl w:val="0"/>
              </w:rPr>
              <w:t xml:space="preserve">Sensor inductivo (Bloque C)</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1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Sin contacto</w:t>
            </w:r>
          </w:p>
          <w:p w:rsidR="00000000" w:rsidDel="00000000" w:rsidP="00000000" w:rsidRDefault="00000000" w:rsidRPr="00000000" w14:paraId="00000107">
            <w:pPr>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  físico: muy larga, &gt;10 años. Lo que falla suele ser el cable, no el sensor</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1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Revisar el cable</w:t>
            </w:r>
          </w:p>
          <w:p w:rsidR="00000000" w:rsidDel="00000000" w:rsidP="00000000" w:rsidRDefault="00000000" w:rsidRPr="00000000" w14:paraId="00000109">
            <w:pPr>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  y la fijación, no el sensor</w:t>
            </w:r>
          </w:p>
        </w:tc>
      </w:tr>
      <w:tr>
        <w:trPr>
          <w:cantSplit w:val="0"/>
          <w:trHeight w:val="855" w:hRule="atLeast"/>
          <w:tblHeader w:val="0"/>
        </w:trPr>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10A">
            <w:pPr>
              <w:rPr>
                <w:rFonts w:ascii="IBM Plex Sans" w:cs="IBM Plex Sans" w:eastAsia="IBM Plex Sans" w:hAnsi="IBM Plex Sans"/>
                <w:b w:val="1"/>
                <w:bCs w:val="1"/>
                <w:sz w:val="24"/>
                <w:szCs w:val="24"/>
              </w:rPr>
            </w:pPr>
            <w:r w:rsidDel="00000000" w:rsidR="00000000" w:rsidRPr="00000000">
              <w:rPr>
                <w:rFonts w:ascii="IBM Plex Sans" w:cs="IBM Plex Sans" w:eastAsia="IBM Plex Sans" w:hAnsi="IBM Plex Sans"/>
                <w:b w:val="1"/>
                <w:bCs w:val="1"/>
                <w:sz w:val="24"/>
                <w:szCs w:val="24"/>
                <w:rtl w:val="0"/>
              </w:rPr>
              <w:t xml:space="preserve">Bobinas de selección (Bloque D)</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1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Depende del ciclo</w:t>
            </w:r>
          </w:p>
          <w:p w:rsidR="00000000" w:rsidDel="00000000" w:rsidP="00000000" w:rsidRDefault="00000000" w:rsidRPr="00000000" w14:paraId="0000010C">
            <w:pPr>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  de trabajo y la temperatura. Es el componente de mayor desgaste del sistema</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1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Definir tras la</w:t>
            </w:r>
          </w:p>
          <w:p w:rsidR="00000000" w:rsidDel="00000000" w:rsidP="00000000" w:rsidRDefault="00000000" w:rsidRPr="00000000" w14:paraId="0000010E">
            <w:pPr>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  medición del telar y el ensayo térmico (tarea 5.17)</w:t>
            </w:r>
          </w:p>
        </w:tc>
      </w:tr>
      <w:tr>
        <w:trPr>
          <w:cantSplit w:val="0"/>
          <w:trHeight w:val="1020" w:hRule="atLeast"/>
          <w:tblHeader w:val="0"/>
        </w:trPr>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10F">
            <w:pPr>
              <w:rPr>
                <w:rFonts w:ascii="IBM Plex Sans" w:cs="IBM Plex Sans" w:eastAsia="IBM Plex Sans" w:hAnsi="IBM Plex Sans"/>
                <w:b w:val="1"/>
                <w:bCs w:val="1"/>
                <w:sz w:val="24"/>
                <w:szCs w:val="24"/>
              </w:rPr>
            </w:pPr>
            <w:r w:rsidDel="00000000" w:rsidR="00000000" w:rsidRPr="00000000">
              <w:rPr>
                <w:rFonts w:ascii="IBM Plex Sans" w:cs="IBM Plex Sans" w:eastAsia="IBM Plex Sans" w:hAnsi="IBM Plex Sans"/>
                <w:b w:val="1"/>
                <w:bCs w:val="1"/>
                <w:sz w:val="24"/>
                <w:szCs w:val="24"/>
                <w:rtl w:val="0"/>
              </w:rPr>
              <w:t xml:space="preserve">Cable de control y prensacables</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1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5-10 años, pero</w:t>
            </w:r>
          </w:p>
          <w:p w:rsidR="00000000" w:rsidDel="00000000" w:rsidP="00000000" w:rsidRDefault="00000000" w:rsidRPr="00000000" w14:paraId="00000111">
            <w:pPr>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  en ambiente textil el enemigo es la pelusa y la vibración</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1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Inspección visual</w:t>
            </w:r>
          </w:p>
          <w:p w:rsidR="00000000" w:rsidDel="00000000" w:rsidP="00000000" w:rsidRDefault="00000000" w:rsidRPr="00000000" w14:paraId="00000113">
            <w:pPr>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  en cada visita: cable rozado, prensacable flojo</w:t>
            </w:r>
          </w:p>
        </w:tc>
      </w:tr>
      <w:tr>
        <w:trPr>
          <w:cantSplit w:val="0"/>
          <w:trHeight w:val="645" w:hRule="atLeast"/>
          <w:tblHeader w:val="0"/>
        </w:trPr>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114">
            <w:pPr>
              <w:rPr>
                <w:rFonts w:ascii="IBM Plex Sans" w:cs="IBM Plex Sans" w:eastAsia="IBM Plex Sans" w:hAnsi="IBM Plex Sans"/>
                <w:b w:val="1"/>
                <w:bCs w:val="1"/>
                <w:sz w:val="24"/>
                <w:szCs w:val="24"/>
              </w:rPr>
            </w:pPr>
            <w:r w:rsidDel="00000000" w:rsidR="00000000" w:rsidRPr="00000000">
              <w:rPr>
                <w:rFonts w:ascii="IBM Plex Sans" w:cs="IBM Plex Sans" w:eastAsia="IBM Plex Sans" w:hAnsi="IBM Plex Sans"/>
                <w:b w:val="1"/>
                <w:bCs w:val="1"/>
                <w:sz w:val="24"/>
                <w:szCs w:val="24"/>
                <w:rtl w:val="0"/>
              </w:rPr>
              <w:t xml:space="preserve">Fusible 1A</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1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Es un consumible:</w:t>
            </w:r>
          </w:p>
          <w:p w:rsidR="00000000" w:rsidDel="00000000" w:rsidP="00000000" w:rsidRDefault="00000000" w:rsidRPr="00000000" w14:paraId="00000116">
            <w:pPr>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  dura hasta que actúa</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1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Tener siempre 2-3</w:t>
            </w:r>
          </w:p>
          <w:p w:rsidR="00000000" w:rsidDel="00000000" w:rsidP="00000000" w:rsidRDefault="00000000" w:rsidRPr="00000000" w14:paraId="00000118">
            <w:pPr>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  de repuesto en la fábrica</w:t>
            </w:r>
          </w:p>
        </w:tc>
      </w:tr>
    </w:tbl>
    <w:p w:rsidR="00000000" w:rsidDel="00000000" w:rsidP="00000000" w:rsidRDefault="00000000" w:rsidRPr="00000000" w14:paraId="00000119">
      <w:pPr>
        <w:spacing w:after="150" w:lineRule="auto"/>
        <w:rPr>
          <w:rFonts w:ascii="IBM Plex Sans" w:cs="IBM Plex Sans" w:eastAsia="IBM Plex Sans" w:hAnsi="IBM Plex Sans"/>
          <w:sz w:val="24"/>
          <w:szCs w:val="24"/>
        </w:rPr>
      </w:pPr>
      <w:r w:rsidDel="00000000" w:rsidR="00000000" w:rsidRPr="00000000">
        <w:rPr>
          <w:rtl w:val="0"/>
        </w:rPr>
      </w:r>
    </w:p>
    <w:p w:rsidR="00000000" w:rsidDel="00000000" w:rsidP="00000000" w:rsidRDefault="00000000" w:rsidRPr="00000000" w14:paraId="0000011A">
      <w:pPr>
        <w:pStyle w:val="Heading2"/>
        <w:spacing w:after="150" w:lineRule="auto" w:before="300"/>
        <w:rPr>
          <w:rFonts w:ascii="IBM Plex Sans" w:cs="IBM Plex Sans" w:eastAsia="IBM Plex Sans" w:hAnsi="IBM Plex Sans"/>
          <w:color w:val="1E3A5F"/>
          <w:sz w:val="30"/>
          <w:szCs w:val="30"/>
        </w:rPr>
      </w:pPr>
      <w:r w:rsidDel="00000000" w:rsidR="00000000" w:rsidRPr="00000000">
        <w:rPr>
          <w:rFonts w:ascii="Questrial" w:cs="IBM Plex Sans" w:eastAsia="IBM Plex Sans" w:hAnsi="Questrial"/>
          <w:color w:val="1E3A5F"/>
          <w:sz w:val="30"/>
          <w:szCs w:val="30"/>
          <w:rtl w:val="0"/>
        </w:rPr>
        <w:t>6.2 Mantenimiento del software</w:t>
      </w:r>
    </w:p>
    <w:p w:rsidR="00000000" w:rsidDel="00000000" w:rsidP="00000000" w:rsidRDefault="00000000" w:rsidRPr="00000000" w14:paraId="0000011B">
      <w:pPr>
        <w:spacing w:after="150"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El software no se desgasta, pero sí se rompe por causas externas. Estos son los mantenimientos que necesita, con su frecuencia:</w:t>
      </w:r>
    </w:p>
    <w:p w:rsidR="00000000" w:rsidDel="00000000" w:rsidP="00000000" w:rsidRDefault="00000000" w:rsidRPr="00000000" w14:paraId="0000011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entury Gothic" w:cs="Century Gothic" w:eastAsia="Century Gothic" w:hAnsi="Century Gothic"/>
          <w:i w:val="0"/>
          <w:iCs w:val="0"/>
          <w:smallCaps w:val="0"/>
          <w:strike w:val="0"/>
          <w:color w:val="000000"/>
          <w:sz w:val="24"/>
          <w:szCs w:val="24"/>
          <w:shd w:fill="auto" w:val="clear"/>
          <w:vertAlign w:val="baseline"/>
        </w:rPr>
      </w:pPr>
      <w:r w:rsidDel="00000000" w:rsidR="00000000" w:rsidRPr="00000000">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Dependencias y seguridad (cada 6 meses): </w:t>
      </w:r>
      <w:r w:rsidDel="00000000" w:rsidR="00000000" w:rsidRPr="00000000">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las librerías de Node.js publican parches de seguridad. Sin actualizarlas, el backend queda expuesto con el tiempo.</w:t>
      </w:r>
      <w:r w:rsidDel="00000000" w:rsidR="00000000" w:rsidRPr="00000000">
        <w:rPr>
          <w:rtl w:val="0"/>
        </w:rPr>
      </w:r>
    </w:p>
    <w:p w:rsidR="00000000" w:rsidDel="00000000" w:rsidP="00000000" w:rsidRDefault="00000000" w:rsidRPr="00000000" w14:paraId="0000011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entury Gothic" w:cs="Century Gothic" w:eastAsia="Century Gothic" w:hAnsi="Century Gothic"/>
          <w:i w:val="0"/>
          <w:iCs w:val="0"/>
          <w:smallCaps w:val="0"/>
          <w:strike w:val="0"/>
          <w:color w:val="000000"/>
          <w:sz w:val="24"/>
          <w:szCs w:val="24"/>
          <w:shd w:fill="auto" w:val="clear"/>
          <w:vertAlign w:val="baseline"/>
        </w:rPr>
      </w:pPr>
      <w:r w:rsidDel="00000000" w:rsidR="00000000" w:rsidRPr="00000000">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Plataformas externas (continuo): </w:t>
      </w:r>
      <w:r w:rsidDel="00000000" w:rsidR="00000000" w:rsidRPr="00000000">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el proyecto depende de Neon (base de datos) y Render (servidor). Ambos cambian condiciones, planes y versiones. El plan Free de Render, además, duerme el servicio tras 15 minutos de inactividad.</w:t>
      </w:r>
      <w:r w:rsidDel="00000000" w:rsidR="00000000" w:rsidRPr="00000000">
        <w:rPr>
          <w:rtl w:val="0"/>
        </w:rPr>
      </w:r>
    </w:p>
    <w:p w:rsidR="00000000" w:rsidDel="00000000" w:rsidP="00000000" w:rsidRDefault="00000000" w:rsidRPr="00000000" w14:paraId="0000011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entury Gothic" w:cs="Century Gothic" w:eastAsia="Century Gothic" w:hAnsi="Century Gothic"/>
          <w:i w:val="0"/>
          <w:iCs w:val="0"/>
          <w:smallCaps w:val="0"/>
          <w:strike w:val="0"/>
          <w:color w:val="000000"/>
          <w:sz w:val="24"/>
          <w:szCs w:val="24"/>
          <w:shd w:fill="auto" w:val="clear"/>
          <w:vertAlign w:val="baseline"/>
        </w:rPr>
      </w:pPr>
      <w:r w:rsidDel="00000000" w:rsidR="00000000" w:rsidRPr="00000000">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Backups de la base (mensual): </w:t>
      </w:r>
      <w:r w:rsidDel="00000000" w:rsidR="00000000" w:rsidRPr="00000000">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hoy los patrones y el historial viven solo en Neon. Conviene exportar una copia periódica.</w:t>
      </w:r>
      <w:r w:rsidDel="00000000" w:rsidR="00000000" w:rsidRPr="00000000">
        <w:rPr>
          <w:rtl w:val="0"/>
        </w:rPr>
      </w:r>
    </w:p>
    <w:p w:rsidR="00000000" w:rsidDel="00000000" w:rsidP="00000000" w:rsidRDefault="00000000" w:rsidRPr="00000000" w14:paraId="0000011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entury Gothic" w:cs="Century Gothic" w:eastAsia="Century Gothic" w:hAnsi="Century Gothic"/>
          <w:i w:val="0"/>
          <w:iCs w:val="0"/>
          <w:smallCaps w:val="0"/>
          <w:strike w:val="0"/>
          <w:color w:val="000000"/>
          <w:sz w:val="24"/>
          <w:szCs w:val="24"/>
          <w:shd w:fill="auto" w:val="clear"/>
          <w:vertAlign w:val="baseline"/>
        </w:rPr>
      </w:pPr>
      <w:r w:rsidDel="00000000" w:rsidR="00000000" w:rsidRPr="00000000">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Certificado y credenciales (anual): </w:t>
      </w:r>
      <w:r w:rsidDel="00000000" w:rsidR="00000000" w:rsidRPr="00000000">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revisar accesos, contraseñas de la base y del WiFi de la fábrica.</w:t>
      </w:r>
      <w:r w:rsidDel="00000000" w:rsidR="00000000" w:rsidRPr="00000000">
        <w:rPr>
          <w:rtl w:val="0"/>
        </w:rPr>
      </w:r>
    </w:p>
    <w:p w:rsidR="00000000" w:rsidDel="00000000" w:rsidP="00000000" w:rsidRDefault="00000000" w:rsidRPr="00000000" w14:paraId="0000012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entury Gothic" w:cs="Century Gothic" w:eastAsia="Century Gothic" w:hAnsi="Century Gothic"/>
          <w:i w:val="0"/>
          <w:iCs w:val="0"/>
          <w:smallCaps w:val="0"/>
          <w:strike w:val="0"/>
          <w:color w:val="000000"/>
          <w:sz w:val="24"/>
          <w:szCs w:val="24"/>
          <w:shd w:fill="auto" w:val="clear"/>
          <w:vertAlign w:val="baseline"/>
        </w:rPr>
      </w:pPr>
      <w:r w:rsidDel="00000000" w:rsidR="00000000" w:rsidRPr="00000000">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Ajustes por cambios del telar:</w:t>
      </w:r>
      <w:r w:rsidDel="00000000" w:rsidR="00000000" w:rsidRPr="00000000">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 si la fábrica cambia el patrón de trabajo, agrega un telar o modifica la botonera, el firmware y la web necesitan adaptarse.</w:t>
      </w:r>
      <w:r w:rsidDel="00000000" w:rsidR="00000000" w:rsidRPr="00000000">
        <w:rPr>
          <w:rtl w:val="0"/>
        </w:rPr>
      </w:r>
    </w:p>
    <w:p w:rsidR="00000000" w:rsidDel="00000000" w:rsidP="00000000" w:rsidRDefault="00000000" w:rsidRPr="00000000" w14:paraId="00000121">
      <w:pPr>
        <w:pStyle w:val="Heading2"/>
        <w:spacing w:after="150" w:before="300" w:lineRule="auto"/>
        <w:rPr>
          <w:rFonts w:ascii="Questrial" w:cs="Questrial" w:eastAsia="Questrial" w:hAnsi="Questrial"/>
          <w:color w:val="1E3A5F"/>
          <w:sz w:val="30"/>
          <w:szCs w:val="30"/>
        </w:rPr>
      </w:pPr>
      <w:r w:rsidDel="00000000" w:rsidR="00000000" w:rsidRPr="00000000">
        <w:rPr>
          <w:rFonts w:ascii="Questrial" w:cs="Questrial" w:eastAsia="Questrial" w:hAnsi="Questrial"/>
          <w:color w:val="1E3A5F"/>
          <w:sz w:val="30"/>
          <w:szCs w:val="30"/>
          <w:rtl w:val="0"/>
        </w:rPr>
        <w:t xml:space="preserve">6.3 Planes de servicio propuestos</w:t>
      </w:r>
    </w:p>
    <w:p w:rsidR="00000000" w:rsidDel="00000000" w:rsidP="00000000" w:rsidRDefault="00000000" w:rsidRPr="00000000" w14:paraId="00000122">
      <w:pPr>
        <w:spacing w:after="150"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Los precios de abajo NO son una cotización cerrada: son un cálculo de referencia usando las mismas tarifas horarias que el resto de este documento (Electrónica $49.600/h, Desarrollo $52.700/h, PM $46.500/h) más el mismo margen del 25%. El equipo debe ajustarlos según lo que decida cobrar y lo que el cliente esté dispuesto a pagar.</w:t>
      </w:r>
    </w:p>
    <w:p w:rsidR="00000000" w:rsidDel="00000000" w:rsidP="00000000" w:rsidRDefault="00000000" w:rsidRPr="00000000" w14:paraId="00000123">
      <w:pPr>
        <w:spacing w:after="150" w:lineRule="auto"/>
        <w:rPr>
          <w:rFonts w:ascii="IBM Plex Sans" w:cs="IBM Plex Sans" w:eastAsia="IBM Plex Sans" w:hAnsi="IBM Plex Sans"/>
          <w:sz w:val="24"/>
          <w:szCs w:val="24"/>
        </w:rPr>
      </w:pPr>
      <w:r w:rsidDel="00000000" w:rsidR="00000000" w:rsidRPr="00000000">
        <w:rPr>
          <w:rtl w:val="0"/>
        </w:rPr>
      </w:r>
    </w:p>
    <w:tbl>
      <w:tblPr>
        <w:tblStyle w:val="Table6"/>
        <w:tblW w:w="150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00"/>
        <w:gridCol w:w="6300"/>
        <w:gridCol w:w="3315"/>
        <w:gridCol w:w="3015"/>
        <w:tblGridChange w:id="0">
          <w:tblGrid>
            <w:gridCol w:w="2400"/>
            <w:gridCol w:w="6300"/>
            <w:gridCol w:w="3315"/>
            <w:gridCol w:w="3015"/>
          </w:tblGrid>
        </w:tblGridChange>
      </w:tblGrid>
      <w:tr>
        <w:trPr>
          <w:cantSplit w:val="0"/>
          <w:trHeight w:val="705" w:hRule="atLeast"/>
          <w:tblHeader w:val="0"/>
        </w:trPr>
        <w:tc>
          <w:tcPr>
            <w:tcBorders>
              <w:top w:color="1E3A5F" w:space="0" w:sz="8" w:val="single"/>
              <w:left w:color="1E3A5F" w:space="0" w:sz="8" w:val="single"/>
              <w:bottom w:color="1E3A5F" w:space="0" w:sz="8" w:val="single"/>
              <w:right w:color="000000" w:space="0" w:sz="0" w:val="nil"/>
            </w:tcBorders>
            <w:shd w:fill="1E3A5F" w:val="clear"/>
            <w:tcMar>
              <w:top w:w="0.0" w:type="dxa"/>
              <w:left w:w="100.0" w:type="dxa"/>
              <w:bottom w:w="0.0" w:type="dxa"/>
              <w:right w:w="100.0" w:type="dxa"/>
            </w:tcMar>
            <w:vAlign w:val="top"/>
          </w:tcPr>
          <w:p w:rsidR="00000000" w:rsidDel="00000000" w:rsidP="00000000" w:rsidRDefault="00000000" w:rsidRPr="00000000" w14:paraId="00000124">
            <w:pPr>
              <w:spacing w:line="276" w:lineRule="auto"/>
              <w:jc w:val="center"/>
              <w:rPr>
                <w:rFonts w:ascii="IBM Plex Sans" w:cs="IBM Plex Sans" w:eastAsia="IBM Plex Sans" w:hAnsi="IBM Plex Sans"/>
                <w:b w:val="1"/>
                <w:bCs w:val="1"/>
                <w:color w:val="ffffff"/>
                <w:sz w:val="28"/>
                <w:szCs w:val="28"/>
              </w:rPr>
            </w:pPr>
            <w:r w:rsidDel="00000000" w:rsidR="00000000" w:rsidRPr="00000000">
              <w:rPr>
                <w:rFonts w:ascii="IBM Plex Sans" w:cs="IBM Plex Sans" w:eastAsia="IBM Plex Sans" w:hAnsi="IBM Plex Sans"/>
                <w:b w:val="1"/>
                <w:bCs w:val="1"/>
                <w:color w:val="ffffff"/>
                <w:sz w:val="28"/>
                <w:szCs w:val="28"/>
                <w:rtl w:val="0"/>
              </w:rPr>
              <w:t xml:space="preserve">Plan</w:t>
            </w:r>
          </w:p>
        </w:tc>
        <w:tc>
          <w:tcPr>
            <w:tcBorders>
              <w:top w:color="1E3A5F" w:space="0" w:sz="8" w:val="single"/>
              <w:left w:color="000000" w:space="0" w:sz="0" w:val="nil"/>
              <w:bottom w:color="1E3A5F" w:space="0" w:sz="8" w:val="single"/>
              <w:right w:color="000000" w:space="0" w:sz="0" w:val="nil"/>
            </w:tcBorders>
            <w:shd w:fill="1E3A5F" w:val="clear"/>
            <w:tcMar>
              <w:top w:w="0.0" w:type="dxa"/>
              <w:left w:w="100.0" w:type="dxa"/>
              <w:bottom w:w="0.0" w:type="dxa"/>
              <w:right w:w="100.0" w:type="dxa"/>
            </w:tcMar>
            <w:vAlign w:val="top"/>
          </w:tcPr>
          <w:p w:rsidR="00000000" w:rsidDel="00000000" w:rsidP="00000000" w:rsidRDefault="00000000" w:rsidRPr="00000000" w14:paraId="00000125">
            <w:pPr>
              <w:spacing w:line="276" w:lineRule="auto"/>
              <w:jc w:val="center"/>
              <w:rPr>
                <w:rFonts w:ascii="IBM Plex Sans" w:cs="IBM Plex Sans" w:eastAsia="IBM Plex Sans" w:hAnsi="IBM Plex Sans"/>
                <w:b w:val="1"/>
                <w:bCs w:val="1"/>
                <w:color w:val="ffffff"/>
                <w:sz w:val="28"/>
                <w:szCs w:val="28"/>
              </w:rPr>
            </w:pPr>
            <w:r w:rsidDel="00000000" w:rsidR="00000000" w:rsidRPr="00000000">
              <w:rPr>
                <w:rFonts w:ascii="IBM Plex Sans" w:cs="IBM Plex Sans" w:eastAsia="IBM Plex Sans" w:hAnsi="IBM Plex Sans"/>
                <w:b w:val="1"/>
                <w:bCs w:val="1"/>
                <w:color w:val="ffffff"/>
                <w:sz w:val="28"/>
                <w:szCs w:val="28"/>
                <w:rtl w:val="0"/>
              </w:rPr>
              <w:t xml:space="preserve">Qué incluye</w:t>
            </w:r>
          </w:p>
        </w:tc>
        <w:tc>
          <w:tcPr>
            <w:tcBorders>
              <w:top w:color="1E3A5F" w:space="0" w:sz="8" w:val="single"/>
              <w:left w:color="000000" w:space="0" w:sz="0" w:val="nil"/>
              <w:bottom w:color="1E3A5F" w:space="0" w:sz="8" w:val="single"/>
              <w:right w:color="000000" w:space="0" w:sz="0" w:val="nil"/>
            </w:tcBorders>
            <w:shd w:fill="1E3A5F" w:val="clear"/>
            <w:tcMar>
              <w:top w:w="0.0" w:type="dxa"/>
              <w:left w:w="100.0" w:type="dxa"/>
              <w:bottom w:w="0.0" w:type="dxa"/>
              <w:right w:w="100.0" w:type="dxa"/>
            </w:tcMar>
            <w:vAlign w:val="top"/>
          </w:tcPr>
          <w:p w:rsidR="00000000" w:rsidDel="00000000" w:rsidP="00000000" w:rsidRDefault="00000000" w:rsidRPr="00000000" w14:paraId="00000126">
            <w:pPr>
              <w:spacing w:line="276" w:lineRule="auto"/>
              <w:jc w:val="center"/>
              <w:rPr>
                <w:rFonts w:ascii="IBM Plex Sans" w:cs="IBM Plex Sans" w:eastAsia="IBM Plex Sans" w:hAnsi="IBM Plex Sans"/>
                <w:b w:val="1"/>
                <w:bCs w:val="1"/>
                <w:color w:val="ffffff"/>
                <w:sz w:val="28"/>
                <w:szCs w:val="28"/>
              </w:rPr>
            </w:pPr>
            <w:r w:rsidDel="00000000" w:rsidR="00000000" w:rsidRPr="00000000">
              <w:rPr>
                <w:rFonts w:ascii="IBM Plex Sans" w:cs="IBM Plex Sans" w:eastAsia="IBM Plex Sans" w:hAnsi="IBM Plex Sans"/>
                <w:b w:val="1"/>
                <w:bCs w:val="1"/>
                <w:color w:val="ffffff"/>
                <w:sz w:val="28"/>
                <w:szCs w:val="28"/>
                <w:rtl w:val="0"/>
              </w:rPr>
              <w:t xml:space="preserve">Frecuencia</w:t>
            </w:r>
          </w:p>
        </w:tc>
        <w:tc>
          <w:tcPr>
            <w:tcBorders>
              <w:top w:color="1E3A5F" w:space="0" w:sz="8" w:val="single"/>
              <w:left w:color="000000" w:space="0" w:sz="0" w:val="nil"/>
              <w:bottom w:color="1E3A5F" w:space="0" w:sz="8" w:val="single"/>
              <w:right w:color="1E3A5F" w:space="0" w:sz="8" w:val="single"/>
            </w:tcBorders>
            <w:shd w:fill="1E3A5F" w:val="clear"/>
            <w:tcMar>
              <w:top w:w="0.0" w:type="dxa"/>
              <w:left w:w="100.0" w:type="dxa"/>
              <w:bottom w:w="0.0" w:type="dxa"/>
              <w:right w:w="100.0" w:type="dxa"/>
            </w:tcMar>
            <w:vAlign w:val="top"/>
          </w:tcPr>
          <w:p w:rsidR="00000000" w:rsidDel="00000000" w:rsidP="00000000" w:rsidRDefault="00000000" w:rsidRPr="00000000" w14:paraId="00000127">
            <w:pPr>
              <w:spacing w:line="276" w:lineRule="auto"/>
              <w:jc w:val="center"/>
              <w:rPr>
                <w:rFonts w:ascii="IBM Plex Sans" w:cs="IBM Plex Sans" w:eastAsia="IBM Plex Sans" w:hAnsi="IBM Plex Sans"/>
                <w:b w:val="1"/>
                <w:bCs w:val="1"/>
                <w:color w:val="ffffff"/>
                <w:sz w:val="28"/>
                <w:szCs w:val="28"/>
              </w:rPr>
            </w:pPr>
            <w:r w:rsidDel="00000000" w:rsidR="00000000" w:rsidRPr="00000000">
              <w:rPr>
                <w:rFonts w:ascii="IBM Plex Sans" w:cs="IBM Plex Sans" w:eastAsia="IBM Plex Sans" w:hAnsi="IBM Plex Sans"/>
                <w:b w:val="1"/>
                <w:bCs w:val="1"/>
                <w:color w:val="ffffff"/>
                <w:sz w:val="28"/>
                <w:szCs w:val="28"/>
                <w:rtl w:val="0"/>
              </w:rPr>
              <w:t xml:space="preserve">Precio de referencia</w:t>
            </w:r>
          </w:p>
        </w:tc>
      </w:tr>
      <w:tr>
        <w:trPr>
          <w:cantSplit w:val="0"/>
          <w:trHeight w:val="1335" w:hRule="atLeast"/>
          <w:tblHeader w:val="0"/>
        </w:trPr>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28">
            <w:pPr>
              <w:spacing w:line="276" w:lineRule="auto"/>
              <w:rPr>
                <w:rFonts w:ascii="IBM Plex Sans" w:cs="IBM Plex Sans" w:eastAsia="IBM Plex Sans" w:hAnsi="IBM Plex Sans"/>
                <w:b w:val="1"/>
                <w:bCs w:val="1"/>
                <w:sz w:val="24"/>
                <w:szCs w:val="24"/>
              </w:rPr>
            </w:pPr>
            <w:r w:rsidDel="00000000" w:rsidR="00000000" w:rsidRPr="00000000">
              <w:rPr>
                <w:rFonts w:ascii="IBM Plex Sans" w:cs="IBM Plex Sans" w:eastAsia="IBM Plex Sans" w:hAnsi="IBM Plex Sans"/>
                <w:b w:val="1"/>
                <w:bCs w:val="1"/>
                <w:sz w:val="24"/>
                <w:szCs w:val="24"/>
                <w:rtl w:val="0"/>
              </w:rPr>
              <w:t xml:space="preserve">Básico, solo software</w:t>
            </w:r>
          </w:p>
        </w:tc>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29">
            <w:pPr>
              <w:spacing w:line="276"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Actualización de dependencias y parches de seguridad, monitoreo del backend, backup mensual de la base y corrección de errores de software/firmware.</w:t>
            </w:r>
          </w:p>
        </w:tc>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2A">
            <w:pPr>
              <w:spacing w:line="276"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Abono mensual (2 h/mes de desarrollo)</w:t>
            </w:r>
          </w:p>
        </w:tc>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2B">
            <w:pPr>
              <w:spacing w:line="276"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$131.750 / mes</w:t>
            </w:r>
          </w:p>
        </w:tc>
      </w:tr>
      <w:tr>
        <w:trPr>
          <w:cantSplit w:val="0"/>
          <w:trHeight w:val="1785" w:hRule="atLeast"/>
          <w:tblHeader w:val="0"/>
        </w:trPr>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2C">
            <w:pPr>
              <w:spacing w:line="276" w:lineRule="auto"/>
              <w:rPr>
                <w:rFonts w:ascii="IBM Plex Sans" w:cs="IBM Plex Sans" w:eastAsia="IBM Plex Sans" w:hAnsi="IBM Plex Sans"/>
                <w:b w:val="1"/>
                <w:bCs w:val="1"/>
                <w:sz w:val="24"/>
                <w:szCs w:val="24"/>
              </w:rPr>
            </w:pPr>
            <w:r w:rsidDel="00000000" w:rsidR="00000000" w:rsidRPr="00000000">
              <w:rPr>
                <w:rFonts w:ascii="IBM Plex Sans" w:cs="IBM Plex Sans" w:eastAsia="IBM Plex Sans" w:hAnsi="IBM Plex Sans"/>
                <w:b w:val="1"/>
                <w:bCs w:val="1"/>
                <w:sz w:val="24"/>
                <w:szCs w:val="24"/>
                <w:rtl w:val="0"/>
              </w:rPr>
              <w:t xml:space="preserve">Completo, software + visita</w:t>
            </w:r>
          </w:p>
        </w:tc>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2D">
            <w:pPr>
              <w:spacing w:line="276"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Todo lo del plan Básico, más una visita presencial de inspección: revisión del gabinete y la pelusa acumulada, medición de la fuente, prueba de los 3 relés y del sensado, revisión de cables y prensacables.</w:t>
            </w:r>
          </w:p>
        </w:tc>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2E">
            <w:pPr>
              <w:spacing w:line="276"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Abono mensual + 2 visitas al año</w:t>
            </w:r>
          </w:p>
        </w:tc>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2F">
            <w:pPr>
              <w:spacing w:line="276"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$131.750 / mes + $244.125 por visita</w:t>
            </w:r>
          </w:p>
        </w:tc>
      </w:tr>
      <w:tr>
        <w:trPr>
          <w:cantSplit w:val="0"/>
          <w:trHeight w:val="870" w:hRule="atLeast"/>
          <w:tblHeader w:val="0"/>
        </w:trPr>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30">
            <w:pPr>
              <w:spacing w:line="276" w:lineRule="auto"/>
              <w:rPr>
                <w:rFonts w:ascii="IBM Plex Sans" w:cs="IBM Plex Sans" w:eastAsia="IBM Plex Sans" w:hAnsi="IBM Plex Sans"/>
                <w:b w:val="1"/>
                <w:bCs w:val="1"/>
                <w:sz w:val="24"/>
                <w:szCs w:val="24"/>
              </w:rPr>
            </w:pPr>
            <w:r w:rsidDel="00000000" w:rsidR="00000000" w:rsidRPr="00000000">
              <w:rPr>
                <w:rFonts w:ascii="IBM Plex Sans" w:cs="IBM Plex Sans" w:eastAsia="IBM Plex Sans" w:hAnsi="IBM Plex Sans"/>
                <w:b w:val="1"/>
                <w:bCs w:val="1"/>
                <w:sz w:val="24"/>
                <w:szCs w:val="24"/>
                <w:rtl w:val="0"/>
              </w:rPr>
              <w:t xml:space="preserve">Por incidente (sin abono)</w:t>
            </w:r>
          </w:p>
        </w:tc>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31">
            <w:pPr>
              <w:spacing w:line="276"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Atención puntual ante una falla, sin contrato mensual. Sin prioridad de respuesta ni prevención.</w:t>
            </w:r>
          </w:p>
        </w:tc>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32">
            <w:pPr>
              <w:spacing w:line="276"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A demanda</w:t>
            </w:r>
          </w:p>
        </w:tc>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33">
            <w:pPr>
              <w:spacing w:line="276"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$244.125 por intervención (mínimo 4 h)</w:t>
            </w:r>
          </w:p>
        </w:tc>
      </w:tr>
      <w:tr>
        <w:trPr>
          <w:cantSplit w:val="0"/>
          <w:trHeight w:val="1395" w:hRule="atLeast"/>
          <w:tblHeader w:val="0"/>
        </w:trPr>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34">
            <w:pPr>
              <w:spacing w:line="276" w:lineRule="auto"/>
              <w:rPr>
                <w:rFonts w:ascii="IBM Plex Sans" w:cs="IBM Plex Sans" w:eastAsia="IBM Plex Sans" w:hAnsi="IBM Plex Sans"/>
                <w:b w:val="1"/>
                <w:bCs w:val="1"/>
                <w:sz w:val="24"/>
                <w:szCs w:val="24"/>
              </w:rPr>
            </w:pPr>
            <w:r w:rsidDel="00000000" w:rsidR="00000000" w:rsidRPr="00000000">
              <w:rPr>
                <w:rFonts w:ascii="IBM Plex Sans" w:cs="IBM Plex Sans" w:eastAsia="IBM Plex Sans" w:hAnsi="IBM Plex Sans"/>
                <w:b w:val="1"/>
                <w:bCs w:val="1"/>
                <w:sz w:val="24"/>
                <w:szCs w:val="24"/>
                <w:rtl w:val="0"/>
              </w:rPr>
              <w:t xml:space="preserve">Repuestos</w:t>
            </w:r>
          </w:p>
        </w:tc>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35">
            <w:pPr>
              <w:spacing w:line="276"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No incluidos en ningún plan: se facturan aparte al costo del componente. Referencia: módulo de relés $3.463 · fuente HLK-5M05 $7.000 · ESP32 $12.203 · fusibles ~$800.</w:t>
            </w:r>
          </w:p>
        </w:tc>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36">
            <w:pPr>
              <w:spacing w:line="276"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Según necesidad</w:t>
            </w:r>
          </w:p>
        </w:tc>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37">
            <w:pPr>
              <w:spacing w:line="276"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Al costo + mano de obra</w:t>
            </w:r>
          </w:p>
        </w:tc>
      </w:tr>
    </w:tbl>
    <w:p w:rsidR="00000000" w:rsidDel="00000000" w:rsidP="00000000" w:rsidRDefault="00000000" w:rsidRPr="00000000" w14:paraId="00000138">
      <w:pPr>
        <w:spacing w:after="150" w:lineRule="auto"/>
        <w:rPr>
          <w:rFonts w:ascii="IBM Plex Sans" w:cs="IBM Plex Sans" w:eastAsia="IBM Plex Sans" w:hAnsi="IBM Plex Sans"/>
          <w:sz w:val="24"/>
          <w:szCs w:val="24"/>
        </w:rPr>
      </w:pPr>
      <w:r w:rsidDel="00000000" w:rsidR="00000000" w:rsidRPr="00000000">
        <w:rPr>
          <w:rtl w:val="0"/>
        </w:rPr>
      </w:r>
    </w:p>
    <w:p w:rsidR="00000000" w:rsidDel="00000000" w:rsidP="00000000" w:rsidRDefault="00000000" w:rsidRPr="00000000" w14:paraId="00000139">
      <w:pPr>
        <w:spacing w:after="150"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Por qué importa este servicio: el sistema se vende una sola vez ($30.910.671 con margen), pero el plan Completo factura $1.581.000 al año en abonos más $488.250 en visitas, o sea unos $2.069.250 anuales por cliente. Con el sistema ya desarrollado, cada telar adicional que se sume al servicio es casi todo ganancia, y es lo que sostendría el proyecto una vez terminada la etapa escolar.</w:t>
      </w:r>
    </w:p>
    <w:p w:rsidR="00000000" w:rsidDel="00000000" w:rsidP="00000000" w:rsidRDefault="00000000" w:rsidRPr="00000000" w14:paraId="0000013A">
      <w:pPr>
        <w:spacing w:after="150"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Diferencia con la garantía: la garantía (Sección 5) es gratuita, dura de 1 a 3 meses y solo cubre que lo entregado funcione como se acordó. El mantenimiento es pago, arranca cuando termina la garantía y cubre el desgaste normal, la evolución del software y los cambios que pida la fábrica.</w:t>
      </w:r>
    </w:p>
    <w:p w:rsidR="00000000" w:rsidDel="00000000" w:rsidP="00000000" w:rsidRDefault="00000000" w:rsidRPr="00000000" w14:paraId="0000013B">
      <w:pPr>
        <w:pStyle w:val="Heading2"/>
        <w:spacing w:after="150" w:before="300" w:lineRule="auto"/>
        <w:rPr>
          <w:rFonts w:ascii="Questrial" w:cs="Questrial" w:eastAsia="Questrial" w:hAnsi="Questrial"/>
          <w:color w:val="1E3A5F"/>
          <w:sz w:val="30"/>
          <w:szCs w:val="30"/>
        </w:rPr>
      </w:pPr>
      <w:r w:rsidDel="00000000" w:rsidR="00000000" w:rsidRPr="00000000">
        <w:rPr>
          <w:rFonts w:ascii="Questrial" w:cs="Questrial" w:eastAsia="Questrial" w:hAnsi="Questrial"/>
          <w:color w:val="1E3A5F"/>
          <w:sz w:val="30"/>
          <w:szCs w:val="30"/>
          <w:rtl w:val="0"/>
        </w:rPr>
        <w:t xml:space="preserve">6.4 Respaldo y recuperación de datos</w:t>
      </w:r>
    </w:p>
    <w:p w:rsidR="00000000" w:rsidDel="00000000" w:rsidP="00000000" w:rsidRDefault="00000000" w:rsidRPr="00000000" w14:paraId="0000013C">
      <w:pPr>
        <w:spacing w:after="150"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Todo lo que produce el sistema (los patrones dibujados, el historial de producción y los usuarios registrados) vive únicamente en la base de datos alojada en Neon. Si esa base se pierde o alguien borra un patrón por error, no hay forma de recuperarlo sin un respaldo. Este es, hoy, el punto más frágil del proyecto: el hardware se puede volver a comprar y el código está versionado en GitHub, pero los datos no tienen copia.</w:t>
      </w:r>
    </w:p>
    <w:p w:rsidR="00000000" w:rsidDel="00000000" w:rsidP="00000000" w:rsidRDefault="00000000" w:rsidRPr="00000000" w14:paraId="0000013D">
      <w:pPr>
        <w:pStyle w:val="Heading2"/>
        <w:spacing w:after="150" w:before="300" w:lineRule="auto"/>
        <w:rPr>
          <w:rFonts w:ascii="Questrial" w:cs="Questrial" w:eastAsia="Questrial" w:hAnsi="Questrial"/>
          <w:color w:val="1E3A5F"/>
          <w:sz w:val="30"/>
          <w:szCs w:val="30"/>
        </w:rPr>
      </w:pPr>
      <w:r w:rsidDel="00000000" w:rsidR="00000000" w:rsidRPr="00000000">
        <w:rPr>
          <w:rFonts w:ascii="Questrial" w:cs="Questrial" w:eastAsia="Questrial" w:hAnsi="Questrial"/>
          <w:color w:val="1E3A5F"/>
          <w:sz w:val="30"/>
          <w:szCs w:val="30"/>
          <w:rtl w:val="0"/>
        </w:rPr>
        <w:t xml:space="preserve">6.4.1 Lo que ya cubre Neon (sin costo adicional)</w:t>
      </w:r>
    </w:p>
    <w:p w:rsidR="00000000" w:rsidDel="00000000" w:rsidP="00000000" w:rsidRDefault="00000000" w:rsidRPr="00000000" w14:paraId="0000013E">
      <w:pPr>
        <w:spacing w:after="150"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Neon guarda un registro continuo de cambios que permite "rebobinar" la base a un momento anterior (instant restore o point-in-time restore). En el plan gratuito que usa el proyecto, esa ventana es de 6 horas y está limitada a 1 GB de cambios. Alcanza para revertir un error detectado el mismo día -por ejemplo, si alguien borra un patrón y se da cuenta en el momento, pero no protege contra nada que se descubra al día siguiente, ni contra la pérdida de la cuenta entera.</w:t>
      </w:r>
    </w:p>
    <w:p w:rsidR="00000000" w:rsidDel="00000000" w:rsidP="00000000" w:rsidRDefault="00000000" w:rsidRPr="00000000" w14:paraId="0000013F">
      <w:pPr>
        <w:pStyle w:val="Heading2"/>
        <w:spacing w:after="150" w:before="300" w:lineRule="auto"/>
        <w:rPr>
          <w:rFonts w:ascii="Questrial" w:cs="Questrial" w:eastAsia="Questrial" w:hAnsi="Questrial"/>
          <w:color w:val="1E3A5F"/>
          <w:sz w:val="30"/>
          <w:szCs w:val="30"/>
        </w:rPr>
      </w:pPr>
      <w:r w:rsidDel="00000000" w:rsidR="00000000" w:rsidRPr="00000000">
        <w:rPr>
          <w:rFonts w:ascii="Questrial" w:cs="Questrial" w:eastAsia="Questrial" w:hAnsi="Questrial"/>
          <w:color w:val="1E3A5F"/>
          <w:sz w:val="30"/>
          <w:szCs w:val="30"/>
          <w:rtl w:val="0"/>
        </w:rPr>
        <w:t xml:space="preserve">6.4.2 Estrategia de respaldo propuesta</w:t>
      </w:r>
    </w:p>
    <w:p w:rsidR="00000000" w:rsidDel="00000000" w:rsidP="00000000" w:rsidRDefault="00000000" w:rsidRPr="00000000" w14:paraId="00000140">
      <w:pPr>
        <w:spacing w:after="150"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Para cubrir lo que Neon no alcanza, se propone un esquema en tres capas, ordenado de menor a mayor esfuerzo de implementación:</w:t>
      </w:r>
    </w:p>
    <w:p w:rsidR="00000000" w:rsidDel="00000000" w:rsidP="00000000" w:rsidRDefault="00000000" w:rsidRPr="00000000" w14:paraId="0000014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entury Gothic" w:cs="Century Gothic" w:eastAsia="Century Gothic" w:hAnsi="Century Gothic"/>
          <w:i w:val="0"/>
          <w:iCs w:val="0"/>
          <w:smallCaps w:val="0"/>
          <w:strike w:val="0"/>
          <w:color w:val="000000"/>
          <w:sz w:val="24"/>
          <w:szCs w:val="24"/>
          <w:shd w:fill="auto" w:val="clear"/>
          <w:vertAlign w:val="baseline"/>
        </w:rPr>
      </w:pPr>
      <w:r w:rsidDel="00000000" w:rsidR="00000000" w:rsidRPr="00000000">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Capa 1, Restauración instantánea de Neon (ya activa): </w:t>
      </w:r>
      <w:r w:rsidDel="00000000" w:rsidR="00000000" w:rsidRPr="00000000">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ventana de 6 horas. Cubre el error humano detectado en el momento. No requiere ninguna acción del equipo.</w:t>
      </w:r>
      <w:r w:rsidDel="00000000" w:rsidR="00000000" w:rsidRPr="00000000">
        <w:rPr>
          <w:rtl w:val="0"/>
        </w:rPr>
      </w:r>
    </w:p>
    <w:p w:rsidR="00000000" w:rsidDel="00000000" w:rsidP="00000000" w:rsidRDefault="00000000" w:rsidRPr="00000000" w14:paraId="0000014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entury Gothic" w:cs="Century Gothic" w:eastAsia="Century Gothic" w:hAnsi="Century Gothic"/>
          <w:i w:val="0"/>
          <w:iCs w:val="0"/>
          <w:smallCaps w:val="0"/>
          <w:strike w:val="0"/>
          <w:color w:val="000000"/>
          <w:sz w:val="24"/>
          <w:szCs w:val="24"/>
          <w:shd w:fill="auto" w:val="clear"/>
          <w:vertAlign w:val="baseline"/>
        </w:rPr>
      </w:pPr>
      <w:r w:rsidDel="00000000" w:rsidR="00000000" w:rsidRPr="00000000">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Capa 2, Respaldo automático diario a un repositorio externo: </w:t>
      </w:r>
      <w:r w:rsidDel="00000000" w:rsidR="00000000" w:rsidRPr="00000000">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una tarea programada de GitHub Actions que ejecuta pg_dump contra la base todas las noches y guarda el archivo comprimido. GitHub Actions ofrece minutos gratuitos en repositorios públicos, y un volcado de esta base pesa muy poco (son patrones e historial, no archivos pesados), por lo que el almacenamiento tampoco representa un costo. Es la capa que realmente protege el proyecto y la que conviene implementar antes de la entrega final.</w:t>
      </w:r>
      <w:r w:rsidDel="00000000" w:rsidR="00000000" w:rsidRPr="00000000">
        <w:rPr>
          <w:rtl w:val="0"/>
        </w:rPr>
      </w:r>
    </w:p>
    <w:p w:rsidR="00000000" w:rsidDel="00000000" w:rsidP="00000000" w:rsidRDefault="00000000" w:rsidRPr="00000000" w14:paraId="0000014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entury Gothic" w:cs="Century Gothic" w:eastAsia="Century Gothic" w:hAnsi="Century Gothic"/>
          <w:i w:val="0"/>
          <w:iCs w:val="0"/>
          <w:smallCaps w:val="0"/>
          <w:strike w:val="0"/>
          <w:color w:val="000000"/>
          <w:sz w:val="24"/>
          <w:szCs w:val="24"/>
          <w:shd w:fill="auto" w:val="clear"/>
          <w:vertAlign w:val="baseline"/>
        </w:rPr>
      </w:pPr>
      <w:r w:rsidDel="00000000" w:rsidR="00000000" w:rsidRPr="00000000">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Capa 3, Copia manual antes de cada cambio importante: </w:t>
      </w:r>
      <w:r w:rsidDel="00000000" w:rsidR="00000000" w:rsidRPr="00000000">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exportar la base a mano desde el panel de Neon antes de correr una migración nueva o de una demostración. Es la red de seguridad para los momentos de mayor riesgo, y no cuesta nada más que un par de minutos.</w:t>
      </w:r>
      <w:r w:rsidDel="00000000" w:rsidR="00000000" w:rsidRPr="00000000">
        <w:rPr>
          <w:rtl w:val="0"/>
        </w:rPr>
      </w:r>
    </w:p>
    <w:p w:rsidR="00000000" w:rsidDel="00000000" w:rsidP="00000000" w:rsidRDefault="00000000" w:rsidRPr="00000000" w14:paraId="00000144">
      <w:pPr>
        <w:pStyle w:val="Heading2"/>
        <w:spacing w:after="150" w:before="300" w:lineRule="auto"/>
        <w:rPr>
          <w:rFonts w:ascii="Questrial" w:cs="Questrial" w:eastAsia="Questrial" w:hAnsi="Questrial"/>
          <w:color w:val="1E3A5F"/>
          <w:sz w:val="30"/>
          <w:szCs w:val="30"/>
        </w:rPr>
      </w:pPr>
      <w:r w:rsidDel="00000000" w:rsidR="00000000" w:rsidRPr="00000000">
        <w:rPr>
          <w:rFonts w:ascii="Questrial" w:cs="Questrial" w:eastAsia="Questrial" w:hAnsi="Questrial"/>
          <w:color w:val="1E3A5F"/>
          <w:sz w:val="30"/>
          <w:szCs w:val="30"/>
          <w:rtl w:val="0"/>
        </w:rPr>
        <w:t xml:space="preserve">6.4.3 Recuperación: qué hacer si se pierden los datos</w:t>
      </w:r>
    </w:p>
    <w:p w:rsidR="00000000" w:rsidDel="00000000" w:rsidP="00000000" w:rsidRDefault="00000000" w:rsidRPr="00000000" w14:paraId="0000014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entury Gothic" w:cs="Century Gothic" w:eastAsia="Century Gothic" w:hAnsi="Century Gothic"/>
          <w:i w:val="0"/>
          <w:iCs w:val="0"/>
          <w:smallCaps w:val="0"/>
          <w:strike w:val="0"/>
          <w:color w:val="000000"/>
          <w:sz w:val="24"/>
          <w:szCs w:val="24"/>
          <w:shd w:fill="auto" w:val="clear"/>
          <w:vertAlign w:val="baseline"/>
        </w:rPr>
      </w:pPr>
      <w:r w:rsidDel="00000000" w:rsidR="00000000" w:rsidRPr="00000000">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Si el error se detecta dentro de las 6 horas: </w:t>
      </w:r>
      <w:r w:rsidDel="00000000" w:rsidR="00000000" w:rsidRPr="00000000">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usar la restauración instantánea desde el panel de Neon, eligiendo la fecha y hora anterior al problema. La base vuelve a ese estado sin cambiar la cadena de conexión, así que el backend y el ESP32 siguen funcionando sin tocar nada.</w:t>
      </w:r>
      <w:r w:rsidDel="00000000" w:rsidR="00000000" w:rsidRPr="00000000">
        <w:rPr>
          <w:rtl w:val="0"/>
        </w:rPr>
      </w:r>
    </w:p>
    <w:p w:rsidR="00000000" w:rsidDel="00000000" w:rsidP="00000000" w:rsidRDefault="00000000" w:rsidRPr="00000000" w14:paraId="0000014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entury Gothic" w:cs="Century Gothic" w:eastAsia="Century Gothic" w:hAnsi="Century Gothic"/>
          <w:i w:val="0"/>
          <w:iCs w:val="0"/>
          <w:smallCaps w:val="0"/>
          <w:strike w:val="0"/>
          <w:color w:val="000000"/>
          <w:sz w:val="24"/>
          <w:szCs w:val="24"/>
          <w:shd w:fill="auto" w:val="clear"/>
          <w:vertAlign w:val="baseline"/>
        </w:rPr>
      </w:pPr>
      <w:r w:rsidDel="00000000" w:rsidR="00000000" w:rsidRPr="00000000">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Si pasaron más de 6 horas: </w:t>
      </w:r>
      <w:r w:rsidDel="00000000" w:rsidR="00000000" w:rsidRPr="00000000">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restaurar desde el último respaldo diario con pg_restore. Se pierde lo producido entre ese respaldo y el incidente, que como máximo es un día de trabajo.</w:t>
      </w:r>
      <w:r w:rsidDel="00000000" w:rsidR="00000000" w:rsidRPr="00000000">
        <w:rPr>
          <w:rtl w:val="0"/>
        </w:rPr>
      </w:r>
    </w:p>
    <w:p w:rsidR="00000000" w:rsidDel="00000000" w:rsidP="00000000" w:rsidRDefault="00000000" w:rsidRPr="00000000" w14:paraId="0000014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entury Gothic" w:cs="Century Gothic" w:eastAsia="Century Gothic" w:hAnsi="Century Gothic"/>
          <w:i w:val="0"/>
          <w:iCs w:val="0"/>
          <w:smallCaps w:val="0"/>
          <w:strike w:val="0"/>
          <w:color w:val="000000"/>
          <w:sz w:val="24"/>
          <w:szCs w:val="24"/>
          <w:shd w:fill="auto" w:val="clear"/>
          <w:vertAlign w:val="baseline"/>
        </w:rPr>
      </w:pPr>
      <w:r w:rsidDel="00000000" w:rsidR="00000000" w:rsidRPr="00000000">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Si se pierde la cuenta de Neon entera: </w:t>
      </w:r>
      <w:r w:rsidDel="00000000" w:rsidR="00000000" w:rsidRPr="00000000">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crear un proyecto nuevo, correr el esquema completo del repositorio y restaurar el último respaldo. El código y la estructura de la base están versionados en GitHub, así que solo hacen falta los datos.</w:t>
      </w:r>
      <w:r w:rsidDel="00000000" w:rsidR="00000000" w:rsidRPr="00000000">
        <w:rPr>
          <w:rtl w:val="0"/>
        </w:rPr>
      </w:r>
    </w:p>
    <w:p w:rsidR="00000000" w:rsidDel="00000000" w:rsidP="00000000" w:rsidRDefault="00000000" w:rsidRPr="00000000" w14:paraId="00000148">
      <w:pPr>
        <w:spacing w:after="150"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Prueba de restauración: un respaldo que nunca se probó no es un respaldo. Se recomienda incluir en cada visita de mantenimiento (Sección 6.3) una restauración de prueba sobre una base de desarrollo, para confirmar que el archivo sirve y que el procedimiento funciona.</w:t>
      </w:r>
    </w:p>
    <w:p w:rsidR="00000000" w:rsidDel="00000000" w:rsidP="00000000" w:rsidRDefault="00000000" w:rsidRPr="00000000" w14:paraId="00000149">
      <w:pPr>
        <w:pStyle w:val="Heading2"/>
        <w:spacing w:after="150" w:before="300" w:lineRule="auto"/>
        <w:rPr>
          <w:rFonts w:ascii="Questrial" w:cs="Questrial" w:eastAsia="Questrial" w:hAnsi="Questrial"/>
          <w:color w:val="1E3A5F"/>
          <w:sz w:val="30"/>
          <w:szCs w:val="30"/>
        </w:rPr>
      </w:pPr>
      <w:r w:rsidDel="00000000" w:rsidR="00000000" w:rsidRPr="00000000">
        <w:rPr>
          <w:rFonts w:ascii="Questrial" w:cs="Questrial" w:eastAsia="Questrial" w:hAnsi="Questrial"/>
          <w:color w:val="1E3A5F"/>
          <w:sz w:val="30"/>
          <w:szCs w:val="30"/>
          <w:rtl w:val="0"/>
        </w:rPr>
        <w:t xml:space="preserve">6.4.4 Impacto en el costo</w:t>
      </w:r>
    </w:p>
    <w:p w:rsidR="00000000" w:rsidDel="00000000" w:rsidP="00000000" w:rsidRDefault="00000000" w:rsidRPr="00000000" w14:paraId="0000014A">
      <w:pPr>
        <w:spacing w:after="150"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La estrategia propuesta no agrega costo de infraestructura: la restauración de Neon viene incluida en el plan actual, y el respaldo automático corre sobre herramientas ya disponibles para el proyecto. El único costo es el tiempo de implementación -estimado en 3 horas de desarrollo para dejar el respaldo automático configurado y probado, o $197.625 aplicando la tarifa y el margen del proyecto- y queda incluido dentro de los planes de mantenimiento de la Sección 6.3, sin cargo aparte.</w:t>
      </w:r>
    </w:p>
    <w:p w:rsidR="00000000" w:rsidDel="00000000" w:rsidP="00000000" w:rsidRDefault="00000000" w:rsidRPr="00000000" w14:paraId="0000014B">
      <w:pPr>
        <w:pStyle w:val="Heading1"/>
        <w:rPr>
          <w:rFonts w:ascii="Questrial" w:cs="Questrial" w:eastAsia="Questrial" w:hAnsi="Questrial"/>
          <w:color w:val="1E3A5F"/>
          <w:sz w:val="38"/>
          <w:szCs w:val="38"/>
        </w:rPr>
      </w:pPr>
      <w:r w:rsidDel="00000000" w:rsidR="00000000" w:rsidRPr="00000000">
        <w:rPr>
          <w:rtl w:val="0"/>
        </w:rPr>
      </w:r>
    </w:p>
    <w:p w:rsidR="00000000" w:rsidDel="00000000" w:rsidP="00000000" w:rsidRDefault="00000000" w:rsidRPr="00000000" w14:paraId="0000014C">
      <w:pPr>
        <w:pStyle w:val="Heading1"/>
        <w:rPr>
          <w:rFonts w:ascii="Questrial" w:cs="Questrial" w:eastAsia="Questrial" w:hAnsi="Questrial"/>
          <w:color w:val="1E3A5F"/>
          <w:sz w:val="38"/>
          <w:szCs w:val="38"/>
        </w:rPr>
      </w:pPr>
      <w:r w:rsidDel="00000000" w:rsidR="00000000" w:rsidRPr="00000000">
        <w:rPr>
          <w:rFonts w:ascii="Questrial" w:cs="Questrial" w:eastAsia="Questrial" w:hAnsi="Questrial"/>
          <w:color w:val="1E3A5F"/>
          <w:sz w:val="38"/>
          <w:szCs w:val="38"/>
          <w:rtl w:val="0"/>
        </w:rPr>
        <w:t xml:space="preserve">7. Conclusión</w:t>
      </w:r>
    </w:p>
    <w:p w:rsidR="00000000" w:rsidDel="00000000" w:rsidP="00000000" w:rsidRDefault="00000000" w:rsidRPr="00000000" w14:paraId="0000014D">
      <w:pPr>
        <w:spacing w:after="200"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El proyecto tiene un costo total estimado de $24.728.537, compuesto casi en su totalidad (99,2%) por el valor del trabajo del equipo y solo marginalmente (0,8%, $200.541) por dinero que realmente hay que desembolsar en componentes y gastos operativos. Con el margen del 25% ya usado en la plantilla original, el presupuesto final asciende a $30.910.671, dejando una ganancia proyectada de $6.182.134.</w:t>
      </w:r>
    </w:p>
    <w:p w:rsidR="00000000" w:rsidDel="00000000" w:rsidP="00000000" w:rsidRDefault="00000000" w:rsidRPr="00000000" w14:paraId="0000014E">
      <w:pPr>
        <w:spacing w:after="200"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Quedan cuatro decisiones abiertas para el equipo antes de la 3ra presentación (mediados de septiembre): definir la modalidad de inversión real, fijar la vigencia exacta de la garantía dentro del rango de 1 a 3 meses, decidir con qué frecuencia recalcular el presupuesto por el tipo de cambio, y definir los precios finales del servicio de mantenimiento (Sección 6.3), que hoy figuran como valores de referencia calculados sobre las tarifas del proyecto.</w:t>
      </w:r>
    </w:p>
    <w:p w:rsidR="00000000" w:rsidDel="00000000" w:rsidP="00000000" w:rsidRDefault="00000000" w:rsidRPr="00000000" w14:paraId="0000014F">
      <w:pPr>
        <w:spacing w:after="200" w:lineRule="auto"/>
        <w:rPr>
          <w:rFonts w:ascii="IBM Plex Sans" w:cs="IBM Plex Sans" w:eastAsia="IBM Plex Sans" w:hAnsi="IBM Plex Sans"/>
          <w:sz w:val="24"/>
          <w:szCs w:val="24"/>
        </w:rPr>
      </w:pPr>
      <w:r w:rsidDel="00000000" w:rsidR="00000000" w:rsidRPr="00000000">
        <w:rPr>
          <w:rtl w:val="0"/>
        </w:rPr>
      </w:r>
    </w:p>
    <w:sectPr>
      <w:headerReference r:id="rId7" w:type="default"/>
      <w:footerReference r:id="rId8" w:type="default"/>
      <w:pgSz w:h="23811" w:w="16838" w:orient="portrait"/>
      <w:pgMar w:bottom="1080" w:top="1080" w:left="720" w:right="72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 w:name="Arial"/>
  <w:font w:name="Arial Unicode MS"/>
  <w:font w:name="Courier New"/>
  <w:font w:name="Noto Sans Symbols">
    <w:embedRegular w:fontKey="{00000000-0000-0000-0000-000000000000}" r:id="rId1" w:subsetted="0"/>
    <w:embedBold w:fontKey="{00000000-0000-0000-0000-000000000000}" r:id="rId2" w:subsetted="0"/>
  </w:font>
  <w:font w:name="Century Gothic">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51">
    <w:pPr>
      <w:jc w:val="center"/>
      <w:rPr/>
    </w:pPr>
    <w:r w:rsidDel="00000000" w:rsidR="00000000" w:rsidRPr="00000000">
      <w:rPr>
        <w:color w:val="808080"/>
        <w:sz w:val="16"/>
        <w:szCs w:val="16"/>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50">
    <w:pPr>
      <w:jc w:val="right"/>
      <w:rPr/>
    </w:pPr>
    <w:r w:rsidDel="00000000" w:rsidR="00000000" w:rsidRPr="00000000">
      <w:rPr>
        <w:color w:val="808080"/>
        <w:sz w:val="16"/>
        <w:szCs w:val="16"/>
        <w:rtl w:val="0"/>
      </w:rPr>
      <w:t xml:space="preserve">Automatización de Telar Industrial, Control de Inserción de Trama</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lvl>
    <w:lvl w:ilvl="1">
      <w:start w:val="1"/>
      <w:numFmt w:val="bullet"/>
      <w:lvlText w:val="○"/>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5760" w:hanging="360"/>
      </w:pPr>
      <w:rPr/>
    </w:lvl>
    <w:lvl w:ilvl="8">
      <w:start w:val="1"/>
      <w:numFmt w:val="bullet"/>
      <w:lvlText w:val="●"/>
      <w:lvlJc w:val="left"/>
      <w:pPr>
        <w:ind w:left="6480" w:hanging="360"/>
      </w:pPr>
      <w:rPr/>
    </w:lvl>
  </w:abstractNum>
  <w:abstractNum w:abstractNumId="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IBM Plex Sans" w:cs="IBM Plex Sans" w:eastAsia="IBM Plex Sans" w:hAnsi="IBM Plex Sans"/>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IBM Plex Sans" w:cs="IBM Plex Sans" w:eastAsia="IBM Plex Sans" w:hAnsi="IBM Plex Sans"/>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IBM Plex Sans" w:cs="IBM Plex Sans" w:eastAsia="IBM Plex Sans" w:hAnsi="IBM Plex Sans"/>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lang w:val="es-AR"/>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Questrial" w:cs="Questrial" w:eastAsia="Questrial" w:hAnsi="Questrial"/>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Questrial" w:cs="Questrial" w:eastAsia="Questrial" w:hAnsi="Questrial"/>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Questrial" w:cs="Questrial" w:eastAsia="Questrial" w:hAnsi="Questrial"/>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Questrial" w:cs="Questrial" w:eastAsia="Questrial" w:hAnsi="Questrial"/>
      <w:b w:val="0"/>
      <w:bCs w:val="0"/>
      <w:i w:val="1"/>
      <w:iCs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Questrial" w:cs="Questrial" w:eastAsia="Questrial" w:hAnsi="Questrial"/>
      <w:b w:val="0"/>
      <w:bCs w:val="0"/>
      <w:i w:val="0"/>
      <w:iCs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Questrial" w:cs="Questrial" w:eastAsia="Questrial" w:hAnsi="Questrial"/>
      <w:b w:val="0"/>
      <w:bCs w:val="0"/>
      <w:i w:val="0"/>
      <w:iCs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Questrial" w:cs="Questrial" w:eastAsia="Questrial" w:hAnsi="Questrial"/>
      <w:b w:val="0"/>
      <w:bCs w:val="0"/>
      <w:i w:val="0"/>
      <w:iCs w:val="0"/>
      <w:smallCaps w:val="0"/>
      <w:strike w:val="0"/>
      <w:color w:val="000000"/>
      <w:sz w:val="56"/>
      <w:szCs w:val="56"/>
      <w:u w:val="none"/>
      <w:shd w:fill="auto" w:val="clear"/>
      <w:vertAlign w:val="baseline"/>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character" w:styleId="DefaultParagraphFont" w:default="1">
    <w:name w:val="Default Paragraph Font"/>
    <w:uiPriority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Strong1" w:customStyle="1">
    <w:name w:val="Strong1"/>
    <w:qFormat w:val="1"/>
    <w:rPr>
      <w:b w:val="1"/>
      <w:bCs w:val="1"/>
    </w:rPr>
  </w:style>
  <w:style w:type="paragraph" w:styleId="ListParagraph">
    <w:name w:val="List Paragraph"/>
    <w:qFormat w:val="1"/>
  </w:style>
  <w:style w:type="character" w:styleId="Hyperlink">
    <w:name w:val="Hyperlink"/>
    <w:uiPriority w:val="99"/>
    <w:unhideWhenUsed w:val="1"/>
    <w:rPr>
      <w:color w:val="0563c1"/>
      <w:u w:val="single"/>
    </w:rPr>
  </w:style>
  <w:style w:type="character" w:styleId="FootnoteReference">
    <w:name w:val="footnote reference"/>
    <w:uiPriority w:val="99"/>
    <w:semiHidden w:val="1"/>
    <w:unhideWhenUsed w:val="1"/>
    <w:rPr>
      <w:vertAlign w:val="superscript"/>
    </w:rPr>
  </w:style>
  <w:style w:type="paragraph" w:styleId="FootnoteText">
    <w:name w:val="footnote text"/>
    <w:link w:val="FootnoteTextChar"/>
    <w:uiPriority w:val="99"/>
    <w:semiHidden w:val="1"/>
    <w:unhideWhenUsed w:val="1"/>
  </w:style>
  <w:style w:type="character" w:styleId="FootnoteTextChar" w:customStyle="1">
    <w:name w:val="Footnote Text Char"/>
    <w:link w:val="FootnoteText"/>
    <w:uiPriority w:val="99"/>
    <w:semiHidden w:val="1"/>
    <w:unhideWhenUsed w:val="1"/>
    <w:rPr>
      <w:sz w:val="20"/>
      <w:szCs w:val="20"/>
    </w:rPr>
  </w:style>
  <w:style w:type="character" w:styleId="EndnoteReference">
    <w:name w:val="endnote reference"/>
    <w:uiPriority w:val="99"/>
    <w:semiHidden w:val="1"/>
    <w:unhideWhenUsed w:val="1"/>
    <w:rPr>
      <w:vertAlign w:val="superscript"/>
    </w:rPr>
  </w:style>
  <w:style w:type="paragraph" w:styleId="EndnoteText">
    <w:name w:val="endnote text"/>
    <w:link w:val="EndnoteTextChar"/>
    <w:uiPriority w:val="99"/>
    <w:semiHidden w:val="1"/>
    <w:unhideWhenUsed w:val="1"/>
  </w:style>
  <w:style w:type="character" w:styleId="EndnoteTextChar" w:customStyle="1">
    <w:name w:val="Endnote Text Char"/>
    <w:link w:val="EndnoteText"/>
    <w:uiPriority w:val="99"/>
    <w:semiHidden w:val="1"/>
    <w:unhideWhenUsed w:val="1"/>
    <w:rPr>
      <w:sz w:val="20"/>
      <w:szCs w:val="20"/>
    </w:rPr>
  </w:style>
  <w:style w:type="table" w:styleId="Table1">
    <w:basedOn w:val="TableNormal"/>
    <w:tblPr>
      <w:tblStyleRowBandSize w:val="1"/>
      <w:tblStyleColBandSize w:val="1"/>
      <w:tblCellMar>
        <w:top w:w="0.0" w:type="dxa"/>
        <w:left w:w="10.0" w:type="dxa"/>
        <w:bottom w:w="0.0" w:type="dxa"/>
        <w:right w:w="10.0" w:type="dxa"/>
      </w:tblCellMar>
    </w:tblPr>
  </w:style>
  <w:style w:type="table" w:styleId="Table2">
    <w:basedOn w:val="TableNormal"/>
    <w:tblPr>
      <w:tblStyleRowBandSize w:val="1"/>
      <w:tblStyleColBandSize w:val="1"/>
      <w:tblCellMar>
        <w:top w:w="0.0" w:type="dxa"/>
        <w:left w:w="10.0" w:type="dxa"/>
        <w:bottom w:w="0.0" w:type="dxa"/>
        <w:right w:w="10.0" w:type="dxa"/>
      </w:tblCellMar>
    </w:tblPr>
  </w:style>
  <w:style w:type="table" w:styleId="Table3">
    <w:basedOn w:val="TableNormal"/>
    <w:tblPr>
      <w:tblStyleRowBandSize w:val="1"/>
      <w:tblStyleColBandSize w:val="1"/>
      <w:tblCellMar>
        <w:top w:w="0.0" w:type="dxa"/>
        <w:left w:w="10.0" w:type="dxa"/>
        <w:bottom w:w="0.0" w:type="dxa"/>
        <w:right w:w="10.0" w:type="dxa"/>
      </w:tblCellMar>
    </w:tblPr>
  </w:style>
  <w:style w:type="table" w:styleId="Table4">
    <w:basedOn w:val="TableNormal"/>
    <w:tblPr>
      <w:tblStyleRowBandSize w:val="1"/>
      <w:tblStyleColBandSize w:val="1"/>
      <w:tblCellMar>
        <w:top w:w="0.0" w:type="dxa"/>
        <w:left w:w="10.0" w:type="dxa"/>
        <w:bottom w:w="0.0" w:type="dxa"/>
        <w:right w:w="10.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1">
    <w:basedOn w:val="TableNormal"/>
    <w:tblPr>
      <w:tblStyleRowBandSize w:val="1"/>
      <w:tblStyleColBandSize w:val="1"/>
      <w:tblCellMar>
        <w:top w:w="0.0" w:type="dxa"/>
        <w:left w:w="10.0" w:type="dxa"/>
        <w:bottom w:w="0.0" w:type="dxa"/>
        <w:right w:w="10.0" w:type="dxa"/>
      </w:tblCellMar>
    </w:tblPr>
  </w:style>
  <w:style w:type="table" w:styleId="Table2">
    <w:basedOn w:val="TableNormal"/>
    <w:tblPr>
      <w:tblStyleRowBandSize w:val="1"/>
      <w:tblStyleColBandSize w:val="1"/>
      <w:tblCellMar>
        <w:top w:w="0.0" w:type="dxa"/>
        <w:left w:w="10.0" w:type="dxa"/>
        <w:bottom w:w="0.0" w:type="dxa"/>
        <w:right w:w="10.0" w:type="dxa"/>
      </w:tblCellMar>
    </w:tblPr>
  </w:style>
  <w:style w:type="table" w:styleId="Table3">
    <w:basedOn w:val="TableNormal"/>
    <w:tblPr>
      <w:tblStyleRowBandSize w:val="1"/>
      <w:tblStyleColBandSize w:val="1"/>
      <w:tblCellMar>
        <w:top w:w="0.0" w:type="dxa"/>
        <w:left w:w="10.0" w:type="dxa"/>
        <w:bottom w:w="0.0" w:type="dxa"/>
        <w:right w:w="10.0" w:type="dxa"/>
      </w:tblCellMar>
    </w:tblPr>
  </w:style>
  <w:style w:type="table" w:styleId="Table4">
    <w:basedOn w:val="TableNormal"/>
    <w:tblPr>
      <w:tblStyleRowBandSize w:val="1"/>
      <w:tblStyleColBandSize w:val="1"/>
      <w:tblCellMar>
        <w:top w:w="0.0" w:type="dxa"/>
        <w:left w:w="10.0" w:type="dxa"/>
        <w:bottom w:w="0.0" w:type="dxa"/>
        <w:right w:w="10.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0" w:type="dxa"/>
        <w:bottom w:w="0.0" w:type="dxa"/>
        <w:right w:w="10.0" w:type="dxa"/>
      </w:tblCellMar>
    </w:tblPr>
  </w:style>
  <w:style w:type="table" w:styleId="Table2">
    <w:basedOn w:val="TableNormal"/>
    <w:tblPr>
      <w:tblStyleRowBandSize w:val="1"/>
      <w:tblStyleColBandSize w:val="1"/>
      <w:tblCellMar>
        <w:top w:w="0.0" w:type="dxa"/>
        <w:left w:w="10.0" w:type="dxa"/>
        <w:bottom w:w="0.0" w:type="dxa"/>
        <w:right w:w="10.0" w:type="dxa"/>
      </w:tblCellMar>
    </w:tblPr>
  </w:style>
  <w:style w:type="table" w:styleId="Table3">
    <w:basedOn w:val="TableNormal"/>
    <w:tblPr>
      <w:tblStyleRowBandSize w:val="1"/>
      <w:tblStyleColBandSize w:val="1"/>
      <w:tblCellMar>
        <w:top w:w="0.0" w:type="dxa"/>
        <w:left w:w="10.0" w:type="dxa"/>
        <w:bottom w:w="0.0" w:type="dxa"/>
        <w:right w:w="10.0" w:type="dxa"/>
      </w:tblCellMar>
    </w:tblPr>
  </w:style>
  <w:style w:type="table" w:styleId="Table4">
    <w:basedOn w:val="TableNormal"/>
    <w:tblPr>
      <w:tblStyleRowBandSize w:val="1"/>
      <w:tblStyleColBandSize w:val="1"/>
      <w:tblCellMar>
        <w:top w:w="0.0" w:type="dxa"/>
        <w:left w:w="10.0" w:type="dxa"/>
        <w:bottom w:w="0.0" w:type="dxa"/>
        <w:right w:w="10.0" w:type="dxa"/>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 Id="rId8"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 Id="rId3" Type="http://schemas.openxmlformats.org/officeDocument/2006/relationships/font" Target="fonts/CenturyGothic-regular.ttf"/><Relationship Id="rId4" Type="http://schemas.openxmlformats.org/officeDocument/2006/relationships/font" Target="fonts/CenturyGothic-bold.ttf"/><Relationship Id="rId5" Type="http://schemas.openxmlformats.org/officeDocument/2006/relationships/font" Target="fonts/CenturyGothic-italic.ttf"/><Relationship Id="rId6" Type="http://schemas.openxmlformats.org/officeDocument/2006/relationships/font" Target="fonts/CenturyGothic-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IBM Plex Sans" panose="02110004020202020204"/>
        <a:ea typeface=""/>
        <a:cs typeface=""/>
        <a:font script="Jpan" typeface="游ゴシック Light"/>
        <a:font script="Hang" typeface="맑은 고딕"/>
        <a:font script="Hans" typeface="等线 Light"/>
        <a:font script="Hant" typeface="新細明體"/>
        <a:font script="Arab" typeface="IBM Plex Sans"/>
        <a:font script="Hebr" typeface="IBM Plex Sans"/>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font script="Armn" typeface="IBM Plex Sans"/>
        <a:font script="Bugi" typeface="Leelawadee UI"/>
        <a:font script="Bopo" typeface="Microsoft JhengHei"/>
        <a:font script="Java" typeface="Javanese Text"/>
        <a:font script="Lisu" typeface="IBM Plex Sans"/>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IBM Plex Sans" panose="02110004020202020204"/>
        <a:ea typeface=""/>
        <a:cs typeface=""/>
        <a:font script="Jpan" typeface="游明朝"/>
        <a:font script="Hang" typeface="맑은 고딕"/>
        <a:font script="Hans" typeface="等线"/>
        <a:font script="Hant" typeface="新細明體"/>
        <a:font script="Arab" typeface="IBM Plex Sans"/>
        <a:font script="Hebr" typeface="IBM Plex Sans"/>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font script="Armn" typeface="IBM Plex Sans"/>
        <a:font script="Bugi" typeface="Leelawadee UI"/>
        <a:font script="Bopo" typeface="Microsoft JhengHei"/>
        <a:font script="Java" typeface="Javanese Text"/>
        <a:font script="Lisu" typeface="IBM Plex Sans"/>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CFEIeqREPG3UaY0jxmYhEs+e+/g==">CgMxLjAaJAoBMBIfCh0IB0IZCgVBcmlhbBIQQXJpYWwgVW5pY29kZSBNUxokCgExEh8KHQgHQhkKBUFyaWFsEhBBcmlhbCBVbmljb2RlIE1TGiQKATISHwodCAdCGQoFQXJpYWwSEEFyaWFsIFVuaWNvZGUgTVM4AHIhMTNtQk43R0dCMFJrVjJIelhOaXFCVkI0WEtKYzYyZGVw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2026-08-08T00:02:00Z</dcterms:created>
  <dc:creator>Un-named</dc:creator>
</cp:coreProperties>
</file>