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sidDel="00000000" w:rsidR="00000000" w:rsidRPr="00000000">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560"/>
        <w:gridCol w:w="3119"/>
        <w:gridCol w:w="396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inicial del Diseño UX/UI:</w:t>
            </w:r>
            <w:r w:rsidDel="00000000" w:rsidR="00000000" w:rsidRPr="00000000">
              <w:rPr>
                <w:rFonts w:ascii="IBM Plex Sans" w:cs="IBM Plex Sans" w:eastAsia="IBM Plex Sans" w:hAnsi="IBM Plex Sans"/>
                <w:rtl w:val="0"/>
              </w:rPr>
              <w:t xml:space="preserve"> Extraer conceptos, ideas y necesidades de planta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Validación de Mockup:</w:t>
            </w:r>
            <w:r w:rsidDel="00000000" w:rsidR="00000000" w:rsidRPr="00000000">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Presencial</w:t>
            </w:r>
          </w:p>
        </w:tc>
      </w:tr>
    </w:tbl>
    <w:p w:rsidR="00000000" w:rsidDel="00000000" w:rsidP="00000000" w:rsidRDefault="00000000" w:rsidRPr="00000000" w14:paraId="00000013">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Entremedio hubieron otras comunicaciones con el Dueño y el Empleado para validar el proceso de la creación del FrontEnd/MockUp de la página. Hubieron alrededor de 2 a 3 encuentros virtuales en la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Pivote del proyecto:</w:t>
            </w:r>
            <w:r w:rsidDel="00000000" w:rsidR="00000000" w:rsidRPr="00000000">
              <w:rPr>
                <w:rFonts w:ascii="IBM Plex Sans" w:cs="IBM Plex Sans" w:eastAsia="IBM Plex Sans" w:hAnsi="IBM Plex Sans"/>
                <w:rtl w:val="0"/>
              </w:rPr>
              <w:t xml:space="preserve"> Se descarta el monitoreo ambiental. La interfaz se centrará un 100% en el </w:t>
            </w:r>
            <w:r w:rsidDel="00000000" w:rsidR="00000000" w:rsidRPr="00000000">
              <w:rPr>
                <w:rFonts w:ascii="IBM Plex Sans" w:cs="IBM Plex Sans" w:eastAsia="IBM Plex Sans" w:hAnsi="IBM Plex Sans"/>
                <w:b w:val="1"/>
                <w:bCs w:val="1"/>
                <w:rtl w:val="0"/>
              </w:rPr>
              <w:t xml:space="preserve">Editor Matricial de Patrones</w:t>
            </w:r>
            <w:r w:rsidDel="00000000" w:rsidR="00000000" w:rsidRPr="00000000">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 (UX/UI):</w:t>
            </w:r>
            <w:r w:rsidDel="00000000" w:rsidR="00000000" w:rsidRPr="00000000">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2F">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30">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Responsables (UX/UI y Front-End):</w:t>
            </w:r>
            <w:r w:rsidDel="00000000" w:rsidR="00000000" w:rsidRPr="00000000">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8">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(Botones Play, Stop, Rollback)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Usabilidad Industrial:</w:t>
            </w:r>
            <w:r w:rsidDel="00000000" w:rsidR="00000000" w:rsidRPr="00000000">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(Listado de la base de datos)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Agilidad:</w:t>
            </w:r>
            <w:r w:rsidDel="00000000" w:rsidR="00000000" w:rsidRPr="00000000">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Nuevo Alcance:</w:t>
            </w:r>
            <w:r w:rsidDel="00000000" w:rsidR="00000000" w:rsidRPr="00000000">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3: Costos y modelos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sidDel="00000000" w:rsidR="00000000" w:rsidRPr="00000000">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rtl w:val="0"/>
              </w:rPr>
              <w:br w:type="textWrapping"/>
            </w:r>
            <w:r w:rsidDel="00000000" w:rsidR="00000000" w:rsidRPr="00000000">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Identificación del modelo real del telar mediante su placa de datos: Vamatex C201,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eso es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Ir viendo el pasar todo a una plaqueta y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