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134,75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$6.473.053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49,90</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$2.716.681</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63,40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$3.451.655</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91,47</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$4.686.923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48,55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$2.487.702</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39,34</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$2.015.782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15,07</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$772.187</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80,42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$3.476.858</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 *</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48,27</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$2.473.355</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 *</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19,82</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$856.893</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$29.411.089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5.9)</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$29.411.089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$29.642.903</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$7.410.726</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$37.053.629</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$29.642.903 de costo total, el 99,2% ($29.411.089) es costo de personal y apenas el 0,8% restante ($231.814, materiales y gastos operativos) es dinero que el equipo realmente va a desembolsar (componentes + gastos varios). Esto no es un error de cálculo: la tarifa de personal es un valor de referencia de mercado para un profesional junior, aplicado a las 591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$35.300.000 (y el presupuesto final con margen a cerca de $44.000.000),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$29.642.903 (personal + componentes + gastos varios), se aplica un margen del 25%, lo que deja una ganancia proyectada de $7.410.726 sobre un presupuesto final de $37.053.629.</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después de medir el lector óptico.</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$48.800/h,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$240.188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$240.188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($37.053.629 con margen), pero el plan Completo factura $1.555.500 al año en abonos más $480.376 en visitas, o sea unos $2.035.876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$29.642.903, compuesto casi en su totalidad (99,2%) por el valor del trabajo del equipo y solo marginalmente (0,8%, $231.814) por dinero que realmente hay que desembolsar en componentes y gastos operativos. Con el margen del 25% ya usado en la plantilla original, el presupuesto final asciende a $37.053.629, dejando una ganancia proyectada de $7.410.726.</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