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spacing w:after="100" w:lineRule="auto"/>
        <w:rPr>
          <w:rFonts w:ascii="IBM Plex Sans" w:cs="IBM Plex Sans" w:eastAsia="IBM Plex Sans" w:hAnsi="IBM Plex Sans"/>
          <w:color w:val="16304F"/>
          <w:sz w:val="24"/>
          <w:szCs w:val="24"/>
        </w:rPr>
      </w:pPr>
      <w:r>
        <w:rPr>
          <w:rFonts w:ascii="IBM Plex Sans" w:cs="IBM Plex Sans" w:eastAsia="IBM Plex Sans" w:hAnsi="IBM Plex Sans"/>
          <w:b w:val="1"/>
          <w:bCs w:val="1"/>
          <w:color w:val="16304F"/>
          <w:sz w:val="42"/>
          <w:szCs w:val="42"/>
          <w:rtl w:val="0"/>
        </w:rPr>
        <w:t xml:space="preserve">ESTIMACIÓN DE COSTOS, GANANCIA Y ASPECTOS CONTRACTUALES</w:t>
      </w:r>
      <w:r>
        <w:rPr>
          <w:rtl w:val="0"/>
        </w:rPr>
      </w:r>
    </w:p>
    <w:p w:rsidR="00000000" w:rsidDel="00000000" w:rsidP="00000000" w:rsidRDefault="00000000" w:rsidRPr="00000000" w14:paraId="00000002">
      <w:pPr>
        <w:spacing w:after="100" w:lineRule="auto"/>
        <w:rPr>
          <w:rFonts w:ascii="IBM Plex Sans" w:cs="IBM Plex Sans" w:eastAsia="IBM Plex Sans" w:hAnsi="IBM Plex Sans"/>
          <w:color w:val="1E3A5F"/>
          <w:sz w:val="24"/>
          <w:szCs w:val="24"/>
        </w:rPr>
      </w:pPr>
      <w:r>
        <w:rPr>
          <w:rFonts w:ascii="IBM Plex Sans" w:cs="IBM Plex Sans" w:eastAsia="IBM Plex Sans" w:hAnsi="IBM Plex Sans"/>
          <w:color w:val="1E3A5F"/>
          <w:sz w:val="30"/>
          <w:szCs w:val="30"/>
          <w:rtl w:val="0"/>
        </w:rPr>
        <w:t xml:space="preserve">Proyecto: Automatización de Telar Industrial, Lectura y Control de Inserción de Trama</w:t>
      </w:r>
      <w:r>
        <w:rPr>
          <w:rtl w:val="0"/>
        </w:rPr>
      </w:r>
    </w:p>
    <w:p w:rsidR="00000000" w:rsidDel="00000000" w:rsidP="00000000" w:rsidRDefault="00000000" w:rsidRPr="00000000" w14:paraId="00000003">
      <w:pPr>
        <w:spacing w:after="400" w:lineRule="auto"/>
        <w:rPr>
          <w:rFonts w:ascii="IBM Plex Sans" w:cs="IBM Plex Sans" w:eastAsia="IBM Plex Sans" w:hAnsi="IBM Plex Sans"/>
          <w:i w:val="1"/>
          <w:iCs w:val="1"/>
          <w:color w:val="808080"/>
          <w:sz w:val="24"/>
          <w:szCs w:val="24"/>
        </w:rPr>
      </w:pPr>
      <w:r>
        <w:rPr>
          <w:rFonts w:ascii="IBM Plex Sans" w:cs="IBM Plex Sans" w:eastAsia="IBM Plex Sans" w:hAnsi="IBM Plex Sans"/>
          <w:i w:val="1"/>
          <w:iCs w:val="1"/>
          <w:color w:val="808080"/>
          <w:sz w:val="24"/>
          <w:szCs w:val="24"/>
          <w:rtl w:val="0"/>
        </w:rPr>
        <w:t xml:space="preserve">7mo año, Informática B</w:t>
      </w:r>
    </w:p>
    <w:p w:rsidR="00000000" w:rsidDel="00000000" w:rsidP="00000000" w:rsidRDefault="00000000" w:rsidRPr="00000000" w14:paraId="00000004">
      <w:pPr>
        <w:pStyle w:val="Heading1"/>
        <w:keepNext/>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1. Introducción</w:t>
      </w:r>
    </w:p>
    <w:p w:rsidR="00000000" w:rsidDel="00000000" w:rsidP="00000000" w:rsidRDefault="00000000" w:rsidRPr="00000000" w14:paraId="00000005">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Este documento reúne la estimación económica del proyecto (costos de personal, componentes electrónicos y gastos operativos), el precio final con su recuperación a dos años y la modalidad de inversión elegida, y una síntesis de los aspectos contractuales y de garantía del proyecto.</w:t>
      </w:r>
    </w:p>
    <w:p w:rsidR="00000000" w:rsidDel="00000000" w:rsidP="00000000" w:rsidRDefault="00000000" w:rsidRPr="00000000" w14:paraId="00000006">
      <w:pPr>
        <w:pStyle w:val="Heading1"/>
        <w:spacing w:after="200" w:before="400" w:lineRule="auto"/>
        <w:rPr>
          <w:rFonts w:ascii="Questrial" w:cs="Questrial" w:eastAsia="Questrial" w:hAnsi="Questrial"/>
          <w:color w:val="1E3A5F"/>
          <w:sz w:val="38"/>
          <w:szCs w:val="38"/>
        </w:rPr>
      </w:pPr>
      <w:r>
        <w:rPr>
          <w:rtl w:val="0"/>
        </w:rPr>
      </w:r>
    </w:p>
    <w:p w:rsidR="00000000" w:rsidDel="00000000" w:rsidP="00000000" w:rsidRDefault="00000000" w:rsidRPr="00000000" w14:paraId="00000007">
      <w:pPr>
        <w:pStyle w:val="Heading1"/>
        <w:keepNext/>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2. Fuentes de la estimación</w:t>
      </w:r>
    </w:p>
    <w:p w:rsidR="00000000" w:rsidDel="00000000" w:rsidP="00000000" w:rsidRDefault="00000000" w:rsidRPr="00000000" w14:paraId="00000008">
      <w:pPr>
        <w:keepNext/>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Los valores surgen de dos fuentes propias del proyecto:</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Gantt del proyecto: horas estimadas por tarea y responsable asignado.</w:t>
      </w:r>
      <w:r>
        <w:rPr>
          <w:rtl w:val="0"/>
        </w:rPr>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Lista de componentes (Control de Trama): precios, cantidades y bloques de compra de la parte electrónica.</w:t>
      </w:r>
      <w:r>
        <w:rPr>
          <w:rtl w:val="0"/>
        </w:rPr>
      </w:r>
    </w:p>
    <w:p w:rsidR="00000000" w:rsidDel="00000000" w:rsidP="00000000" w:rsidRDefault="00000000" w:rsidRPr="00000000" w14:paraId="0000000B">
      <w:pPr>
        <w:pStyle w:val="Heading1"/>
        <w:spacing w:after="200" w:before="400" w:lineRule="auto"/>
        <w:rPr>
          <w:rFonts w:ascii="Questrial" w:cs="Questrial" w:eastAsia="Questrial" w:hAnsi="Questrial"/>
          <w:color w:val="1E3A5F"/>
          <w:sz w:val="38"/>
          <w:szCs w:val="38"/>
        </w:rPr>
      </w:pPr>
      <w:r>
        <w:rPr>
          <w:rtl w:val="0"/>
        </w:rPr>
      </w:r>
    </w:p>
    <w:p w:rsidR="00000000" w:rsidDel="00000000" w:rsidP="00000000" w:rsidRDefault="00000000" w:rsidRPr="00000000" w14:paraId="0000000C">
      <w:pPr>
        <w:pStyle w:val="Heading1"/>
        <w:keepNext/>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3. Estimación de costos</w:t>
      </w:r>
    </w:p>
    <w:p w:rsidR="00000000" w:rsidDel="00000000" w:rsidP="00000000" w:rsidRDefault="00000000" w:rsidRPr="00000000" w14:paraId="0000000D">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3.1 Costos de personal</w:t>
      </w:r>
    </w:p>
    <w:p w:rsidR="00000000" w:rsidDel="00000000" w:rsidP="00000000" w:rsidRDefault="00000000" w:rsidRPr="00000000" w14:paraId="0000000E">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Las horas de cada integrante surgen de sumar el campo "Estimado" de todas las tareas del Gantt donde figura como responsable (repartiendo la hora en partes iguales cuando hay más de un responsable por tarea). La tarifa por hora es el valor de referencia junior (JR) de la planilla original, convertido a pesos con el tipo de cambio de referencia ($1.525 = 1 USD), más 5% de contingencia por persona. Así la suma de las horas da las 642 del Gantt. La pestaña «Estimación de Costos» de la planilla del Gantt usa otro criterio: le carga a cada responsable las horas completas de cada tarea (horas-persona, 1.652 en total) y da el resultado en dólares; por eso sus números no coinciden con los de este documento, que es el que vale para el presupuesto.</w:t>
      </w:r>
    </w:p>
    <w:tbl>
      <w:tblPr>
        <w:tblStyle w:val="Table1"/>
        <w:tblW w:w="1488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29"/>
        <w:gridCol w:w="3107"/>
        <w:gridCol w:w="1900"/>
        <w:gridCol w:w="1510"/>
        <w:gridCol w:w="1501"/>
        <w:gridCol w:w="1649"/>
        <w:gridCol w:w="1800"/>
        <w:gridCol w:w="2289"/>
        <w:tblGridChange w:id="0">
          <w:tblGrid>
            <w:gridCol w:w="1129"/>
            <w:gridCol w:w="4111"/>
            <w:gridCol w:w="1459"/>
            <w:gridCol w:w="1510"/>
            <w:gridCol w:w="1501"/>
            <w:gridCol w:w="1649"/>
            <w:gridCol w:w="1237"/>
            <w:gridCol w:w="2289"/>
          </w:tblGrid>
        </w:tblGridChange>
      </w:tblGrid>
      <w:tr>
        <w:trPr>
          <w:cantSplit/>
          <w:trHeight w:val="448" w:hRule="atLeast"/>
          <w:tblHeader w:val="1"/>
        </w:trPr>
        <w:tc>
          <w:tcPr>
            <w:shd w:fill="1E3A5F" w:val="clear"/>
            <w:tcMar>
              <w:top w:w="0.0" w:type="dxa"/>
              <w:bottom w:w="0.0" w:type="dxa"/>
            </w:tcMar>
            <w:vAlign w:val="center"/>
          </w:tcPr>
          <w:p w:rsidR="00000000" w:rsidDel="00000000" w:rsidP="00000000" w:rsidRDefault="00000000" w:rsidRPr="00000000" w14:paraId="0000000F">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Rol</w:t>
            </w:r>
            <w:r>
              <w:rPr>
                <w:rtl w:val="0"/>
              </w:rPr>
            </w:r>
          </w:p>
        </w:tc>
        <w:tc>
          <w:tcPr>
            <w:shd w:fill="1E3A5F" w:val="clear"/>
            <w:tcMar>
              <w:top w:w="0.0" w:type="dxa"/>
              <w:bottom w:w="0.0" w:type="dxa"/>
            </w:tcMar>
            <w:vAlign w:val="center"/>
          </w:tcPr>
          <w:p w:rsidR="00000000" w:rsidDel="00000000" w:rsidP="00000000" w:rsidRDefault="00000000" w:rsidRPr="00000000" w14:paraId="00000010">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Integrante</w:t>
            </w:r>
            <w:r>
              <w:rPr>
                <w:rtl w:val="0"/>
              </w:rPr>
            </w:r>
          </w:p>
        </w:tc>
        <w:tc>
          <w:tcPr>
            <w:shd w:fill="1E3A5F" w:val="clear"/>
            <w:tcMar>
              <w:top w:w="0.0" w:type="dxa"/>
              <w:bottom w:w="0.0" w:type="dxa"/>
            </w:tcMar>
            <w:vAlign w:val="center"/>
          </w:tcPr>
          <w:p w:rsidR="00000000" w:rsidDel="00000000" w:rsidP="00000000" w:rsidRDefault="00000000" w:rsidRPr="00000000" w14:paraId="00000011">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Hs. estimadas</w:t>
            </w:r>
            <w:r>
              <w:rPr>
                <w:rtl w:val="0"/>
              </w:rPr>
            </w:r>
          </w:p>
        </w:tc>
        <w:tc>
          <w:tcPr>
            <w:shd w:fill="1E3A5F" w:val="clear"/>
            <w:tcMar>
              <w:top w:w="0.0" w:type="dxa"/>
              <w:bottom w:w="0.0" w:type="dxa"/>
            </w:tcMar>
            <w:vAlign w:val="center"/>
          </w:tcPr>
          <w:p w:rsidR="00000000" w:rsidDel="00000000" w:rsidP="00000000" w:rsidRDefault="00000000" w:rsidRPr="00000000" w14:paraId="00000012">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Tarifa/hr (USD)</w:t>
            </w:r>
            <w:r>
              <w:rPr>
                <w:rtl w:val="0"/>
              </w:rPr>
            </w:r>
          </w:p>
        </w:tc>
        <w:tc>
          <w:tcPr>
            <w:shd w:fill="1E3A5F" w:val="clear"/>
            <w:tcMar>
              <w:top w:w="0.0" w:type="dxa"/>
              <w:bottom w:w="0.0" w:type="dxa"/>
            </w:tcMar>
            <w:vAlign w:val="center"/>
          </w:tcPr>
          <w:p w:rsidR="00000000" w:rsidDel="00000000" w:rsidP="00000000" w:rsidRDefault="00000000" w:rsidRPr="00000000" w14:paraId="00000013">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T. cambio</w:t>
            </w:r>
            <w:r>
              <w:rPr>
                <w:rtl w:val="0"/>
              </w:rPr>
            </w:r>
          </w:p>
        </w:tc>
        <w:tc>
          <w:tcPr>
            <w:shd w:fill="1E3A5F" w:val="clear"/>
            <w:tcMar>
              <w:top w:w="0.0" w:type="dxa"/>
              <w:bottom w:w="0.0" w:type="dxa"/>
            </w:tcMar>
            <w:vAlign w:val="center"/>
          </w:tcPr>
          <w:p w:rsidR="00000000" w:rsidDel="00000000" w:rsidP="00000000" w:rsidRDefault="00000000" w:rsidRPr="00000000" w14:paraId="00000014">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Tarifa/hr (ARS)</w:t>
            </w:r>
            <w:r>
              <w:rPr>
                <w:rtl w:val="0"/>
              </w:rPr>
            </w:r>
          </w:p>
        </w:tc>
        <w:tc>
          <w:tcPr>
            <w:shd w:fill="1E3A5F" w:val="clear"/>
            <w:tcMar>
              <w:top w:w="0.0" w:type="dxa"/>
              <w:bottom w:w="0.0" w:type="dxa"/>
            </w:tcMar>
            <w:vAlign w:val="center"/>
          </w:tcPr>
          <w:p w:rsidR="00000000" w:rsidDel="00000000" w:rsidP="00000000" w:rsidRDefault="00000000" w:rsidRPr="00000000" w14:paraId="00000015">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Continge.</w:t>
            </w:r>
            <w:r>
              <w:rPr>
                <w:rtl w:val="0"/>
              </w:rPr>
            </w:r>
          </w:p>
        </w:tc>
        <w:tc>
          <w:tcPr>
            <w:shd w:fill="1E3A5F" w:val="clear"/>
            <w:tcMar>
              <w:top w:w="0.0" w:type="dxa"/>
              <w:bottom w:w="0.0" w:type="dxa"/>
            </w:tcMar>
            <w:vAlign w:val="center"/>
          </w:tcPr>
          <w:p w:rsidR="00000000" w:rsidDel="00000000" w:rsidP="00000000" w:rsidRDefault="00000000" w:rsidRPr="00000000" w14:paraId="00000016">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Subtotal (ARS)</w:t>
            </w:r>
            <w:r>
              <w:rPr>
                <w:rtl w:val="0"/>
              </w:rPr>
            </w:r>
          </w:p>
        </w:tc>
      </w:tr>
      <w:tr>
        <w:trPr>
          <w:cantSplit/>
          <w:trHeight w:val="214" w:hRule="atLeast"/>
          <w:tblHeader w:val="0"/>
        </w:trPr>
        <w:tc>
          <w:tcPr>
            <w:tcMar>
              <w:top w:w="0.0" w:type="dxa"/>
              <w:bottom w:w="0.0" w:type="dxa"/>
            </w:tcMar>
            <w:vAlign w:val="center"/>
          </w:tcPr>
          <w:p w:rsidR="00000000" w:rsidDel="00000000" w:rsidP="00000000" w:rsidRDefault="00000000" w:rsidRPr="00000000" w14:paraId="0000001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PM</w:t>
            </w:r>
            <w:r>
              <w:rPr>
                <w:rtl w:val="0"/>
              </w:rPr>
            </w:r>
          </w:p>
        </w:tc>
        <w:tc>
          <w:tcPr>
            <w:tcMar>
              <w:top w:w="0.0" w:type="dxa"/>
              <w:bottom w:w="0.0" w:type="dxa"/>
            </w:tcMar>
            <w:vAlign w:val="center"/>
          </w:tcPr>
          <w:p w:rsidR="00000000" w:rsidDel="00000000" w:rsidP="00000000" w:rsidRDefault="00000000" w:rsidRPr="00000000" w14:paraId="0000001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Manfredo Juan Ignacio (Project Manager)</w:t>
            </w:r>
            <w:r>
              <w:rPr>
                <w:rtl w:val="0"/>
              </w:rPr>
            </w:r>
          </w:p>
        </w:tc>
        <w:tc>
          <w:tcPr>
            <w:tcMar>
              <w:top w:w="0.0" w:type="dxa"/>
              <w:bottom w:w="0.0" w:type="dxa"/>
            </w:tcMar>
            <w:vAlign w:val="center"/>
          </w:tcPr>
          <w:p w:rsidR="00000000" w:rsidDel="00000000" w:rsidP="00000000" w:rsidRDefault="00000000" w:rsidRPr="00000000" w14:paraId="0000001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138,45</w:t>
            </w:r>
            <w:r>
              <w:rPr>
                <w:rtl w:val="0"/>
              </w:rPr>
            </w:r>
          </w:p>
        </w:tc>
        <w:tc>
          <w:tcPr>
            <w:tcMar>
              <w:top w:w="0.0" w:type="dxa"/>
              <w:bottom w:w="0.0" w:type="dxa"/>
            </w:tcMar>
            <w:vAlign w:val="center"/>
          </w:tcPr>
          <w:p w:rsidR="00000000" w:rsidDel="00000000" w:rsidP="00000000" w:rsidRDefault="00000000" w:rsidRPr="00000000" w14:paraId="0000001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30</w:t>
            </w:r>
            <w:r>
              <w:rPr>
                <w:rtl w:val="0"/>
              </w:rPr>
            </w:r>
          </w:p>
        </w:tc>
        <w:tc>
          <w:tcPr>
            <w:tcMar>
              <w:top w:w="0.0" w:type="dxa"/>
              <w:bottom w:w="0.0" w:type="dxa"/>
            </w:tcMar>
            <w:vAlign w:val="center"/>
          </w:tcPr>
          <w:p w:rsidR="00000000" w:rsidDel="00000000" w:rsidP="00000000" w:rsidRDefault="00000000" w:rsidRPr="00000000" w14:paraId="0000001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1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45.750</w:t>
            </w:r>
            <w:r>
              <w:rPr>
                <w:rtl w:val="0"/>
              </w:rPr>
            </w:r>
          </w:p>
        </w:tc>
        <w:tc>
          <w:tcPr>
            <w:tcMar>
              <w:top w:w="0.0" w:type="dxa"/>
              <w:bottom w:w="0.0" w:type="dxa"/>
            </w:tcMar>
            <w:vAlign w:val="center"/>
          </w:tcPr>
          <w:p w:rsidR="00000000" w:rsidDel="00000000" w:rsidP="00000000" w:rsidRDefault="00000000" w:rsidRPr="00000000" w14:paraId="0000001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1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$6.650.792</w:t>
            </w:r>
            <w:r>
              <w:rPr>
                <w:rtl w:val="0"/>
              </w:rPr>
            </w:r>
          </w:p>
        </w:tc>
      </w:tr>
      <w:tr>
        <w:trPr>
          <w:cantSplit/>
          <w:trHeight w:val="214" w:hRule="atLeast"/>
          <w:tblHeader w:val="0"/>
        </w:trPr>
        <w:tc>
          <w:tcPr>
            <w:tcMar>
              <w:top w:w="0.0" w:type="dxa"/>
              <w:bottom w:w="0.0" w:type="dxa"/>
            </w:tcMar>
            <w:vAlign w:val="center"/>
          </w:tcPr>
          <w:p w:rsidR="00000000" w:rsidDel="00000000" w:rsidP="00000000" w:rsidRDefault="00000000" w:rsidRPr="00000000" w14:paraId="0000001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D01</w:t>
            </w:r>
            <w:r>
              <w:rPr>
                <w:rtl w:val="0"/>
              </w:rPr>
            </w:r>
          </w:p>
        </w:tc>
        <w:tc>
          <w:tcPr>
            <w:tcMar>
              <w:top w:w="0.0" w:type="dxa"/>
              <w:bottom w:w="0.0" w:type="dxa"/>
            </w:tcMar>
            <w:vAlign w:val="center"/>
          </w:tcPr>
          <w:p w:rsidR="00000000" w:rsidDel="00000000" w:rsidP="00000000" w:rsidRDefault="00000000" w:rsidRPr="00000000" w14:paraId="0000002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Desarrollador 01 - Back End</w:t>
            </w:r>
            <w:r>
              <w:rPr>
                <w:rtl w:val="0"/>
              </w:rPr>
            </w:r>
          </w:p>
        </w:tc>
        <w:tc>
          <w:tcPr>
            <w:tcMar>
              <w:top w:w="0.0" w:type="dxa"/>
              <w:bottom w:w="0.0" w:type="dxa"/>
            </w:tcMar>
            <w:vAlign w:val="center"/>
          </w:tcPr>
          <w:p w:rsidR="00000000" w:rsidDel="00000000" w:rsidP="00000000" w:rsidRDefault="00000000" w:rsidRPr="00000000" w14:paraId="0000002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54,07</w:t>
            </w:r>
            <w:r>
              <w:rPr>
                <w:rtl w:val="0"/>
              </w:rPr>
            </w:r>
          </w:p>
        </w:tc>
        <w:tc>
          <w:tcPr>
            <w:tcMar>
              <w:top w:w="0.0" w:type="dxa"/>
              <w:bottom w:w="0.0" w:type="dxa"/>
            </w:tcMar>
            <w:vAlign w:val="center"/>
          </w:tcPr>
          <w:p w:rsidR="00000000" w:rsidDel="00000000" w:rsidP="00000000" w:rsidRDefault="00000000" w:rsidRPr="00000000" w14:paraId="0000002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34</w:t>
            </w:r>
            <w:r>
              <w:rPr>
                <w:rtl w:val="0"/>
              </w:rPr>
            </w:r>
          </w:p>
        </w:tc>
        <w:tc>
          <w:tcPr>
            <w:tcMar>
              <w:top w:w="0.0" w:type="dxa"/>
              <w:bottom w:w="0.0" w:type="dxa"/>
            </w:tcMar>
            <w:vAlign w:val="center"/>
          </w:tcPr>
          <w:p w:rsidR="00000000" w:rsidDel="00000000" w:rsidP="00000000" w:rsidRDefault="00000000" w:rsidRPr="00000000" w14:paraId="0000002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2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51.850</w:t>
            </w:r>
            <w:r>
              <w:rPr>
                <w:rtl w:val="0"/>
              </w:rPr>
            </w:r>
          </w:p>
        </w:tc>
        <w:tc>
          <w:tcPr>
            <w:tcMar>
              <w:top w:w="0.0" w:type="dxa"/>
              <w:bottom w:w="0.0" w:type="dxa"/>
            </w:tcMar>
            <w:vAlign w:val="center"/>
          </w:tcPr>
          <w:p w:rsidR="00000000" w:rsidDel="00000000" w:rsidP="00000000" w:rsidRDefault="00000000" w:rsidRPr="00000000" w14:paraId="0000002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2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$2.943.706</w:t>
            </w:r>
            <w:r>
              <w:rPr>
                <w:rtl w:val="0"/>
              </w:rPr>
            </w:r>
          </w:p>
        </w:tc>
      </w:tr>
      <w:tr>
        <w:trPr>
          <w:cantSplit/>
          <w:trHeight w:val="70" w:hRule="atLeast"/>
          <w:tblHeader w:val="0"/>
        </w:trPr>
        <w:tc>
          <w:tcPr>
            <w:tcMar>
              <w:top w:w="0.0" w:type="dxa"/>
              <w:bottom w:w="0.0" w:type="dxa"/>
            </w:tcMar>
            <w:vAlign w:val="center"/>
          </w:tcPr>
          <w:p w:rsidR="00000000" w:rsidDel="00000000" w:rsidP="00000000" w:rsidRDefault="00000000" w:rsidRPr="00000000" w14:paraId="0000002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D02</w:t>
            </w:r>
            <w:r>
              <w:rPr>
                <w:rtl w:val="0"/>
              </w:rPr>
            </w:r>
          </w:p>
        </w:tc>
        <w:tc>
          <w:tcPr>
            <w:tcMar>
              <w:top w:w="0.0" w:type="dxa"/>
              <w:bottom w:w="0.0" w:type="dxa"/>
            </w:tcMar>
            <w:vAlign w:val="center"/>
          </w:tcPr>
          <w:p w:rsidR="00000000" w:rsidDel="00000000" w:rsidP="00000000" w:rsidRDefault="00000000" w:rsidRPr="00000000" w14:paraId="0000002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Iannone Mia (Desarrollador 02 - Front End)</w:t>
            </w:r>
            <w:r>
              <w:rPr>
                <w:rtl w:val="0"/>
              </w:rPr>
            </w:r>
          </w:p>
        </w:tc>
        <w:tc>
          <w:tcPr>
            <w:tcMar>
              <w:top w:w="0.0" w:type="dxa"/>
              <w:bottom w:w="0.0" w:type="dxa"/>
            </w:tcMar>
            <w:vAlign w:val="center"/>
          </w:tcPr>
          <w:p w:rsidR="00000000" w:rsidDel="00000000" w:rsidP="00000000" w:rsidRDefault="00000000" w:rsidRPr="00000000" w14:paraId="0000002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72,10</w:t>
            </w:r>
            <w:r>
              <w:rPr>
                <w:rtl w:val="0"/>
              </w:rPr>
            </w:r>
          </w:p>
        </w:tc>
        <w:tc>
          <w:tcPr>
            <w:tcMar>
              <w:top w:w="0.0" w:type="dxa"/>
              <w:bottom w:w="0.0" w:type="dxa"/>
            </w:tcMar>
            <w:vAlign w:val="center"/>
          </w:tcPr>
          <w:p w:rsidR="00000000" w:rsidDel="00000000" w:rsidP="00000000" w:rsidRDefault="00000000" w:rsidRPr="00000000" w14:paraId="0000002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34</w:t>
            </w:r>
            <w:r>
              <w:rPr>
                <w:rtl w:val="0"/>
              </w:rPr>
            </w:r>
          </w:p>
        </w:tc>
        <w:tc>
          <w:tcPr>
            <w:tcMar>
              <w:top w:w="0.0" w:type="dxa"/>
              <w:bottom w:w="0.0" w:type="dxa"/>
            </w:tcMar>
            <w:vAlign w:val="center"/>
          </w:tcPr>
          <w:p w:rsidR="00000000" w:rsidDel="00000000" w:rsidP="00000000" w:rsidRDefault="00000000" w:rsidRPr="00000000" w14:paraId="0000002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2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51.850</w:t>
            </w:r>
            <w:r>
              <w:rPr>
                <w:rtl w:val="0"/>
              </w:rPr>
            </w:r>
          </w:p>
        </w:tc>
        <w:tc>
          <w:tcPr>
            <w:tcMar>
              <w:top w:w="0.0" w:type="dxa"/>
              <w:bottom w:w="0.0" w:type="dxa"/>
            </w:tcMar>
            <w:vAlign w:val="center"/>
          </w:tcPr>
          <w:p w:rsidR="00000000" w:rsidDel="00000000" w:rsidP="00000000" w:rsidRDefault="00000000" w:rsidRPr="00000000" w14:paraId="0000002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2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$3.925.304</w:t>
            </w:r>
            <w:r>
              <w:rPr>
                <w:rtl w:val="0"/>
              </w:rPr>
            </w:r>
          </w:p>
        </w:tc>
      </w:tr>
      <w:tr>
        <w:trPr>
          <w:cantSplit/>
          <w:trHeight w:val="429" w:hRule="atLeast"/>
          <w:tblHeader w:val="0"/>
        </w:trPr>
        <w:tc>
          <w:tcPr>
            <w:tcMar>
              <w:top w:w="0.0" w:type="dxa"/>
              <w:bottom w:w="0.0" w:type="dxa"/>
            </w:tcMar>
            <w:vAlign w:val="center"/>
          </w:tcPr>
          <w:p w:rsidR="00000000" w:rsidDel="00000000" w:rsidP="00000000" w:rsidRDefault="00000000" w:rsidRPr="00000000" w14:paraId="0000002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IM01</w:t>
            </w:r>
            <w:r>
              <w:rPr>
                <w:rtl w:val="0"/>
              </w:rPr>
            </w:r>
          </w:p>
        </w:tc>
        <w:tc>
          <w:tcPr>
            <w:tcMar>
              <w:top w:w="0.0" w:type="dxa"/>
              <w:bottom w:w="0.0" w:type="dxa"/>
            </w:tcMar>
            <w:vAlign w:val="center"/>
          </w:tcPr>
          <w:p w:rsidR="00000000" w:rsidDel="00000000" w:rsidP="00000000" w:rsidRDefault="00000000" w:rsidRPr="00000000" w14:paraId="0000003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Lede Buschiazzo Lautaro (Infra. de MCU 01)</w:t>
            </w:r>
            <w:r>
              <w:rPr>
                <w:rtl w:val="0"/>
              </w:rPr>
            </w:r>
          </w:p>
        </w:tc>
        <w:tc>
          <w:tcPr>
            <w:tcMar>
              <w:top w:w="0.0" w:type="dxa"/>
              <w:bottom w:w="0.0" w:type="dxa"/>
            </w:tcMar>
            <w:vAlign w:val="center"/>
          </w:tcPr>
          <w:p w:rsidR="00000000" w:rsidDel="00000000" w:rsidP="00000000" w:rsidRDefault="00000000" w:rsidRPr="00000000" w14:paraId="0000003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101,92</w:t>
            </w:r>
            <w:r>
              <w:rPr>
                <w:rtl w:val="0"/>
              </w:rPr>
            </w:r>
          </w:p>
        </w:tc>
        <w:tc>
          <w:tcPr>
            <w:tcMar>
              <w:top w:w="0.0" w:type="dxa"/>
              <w:bottom w:w="0.0" w:type="dxa"/>
            </w:tcMar>
            <w:vAlign w:val="center"/>
          </w:tcPr>
          <w:p w:rsidR="00000000" w:rsidDel="00000000" w:rsidP="00000000" w:rsidRDefault="00000000" w:rsidRPr="00000000" w14:paraId="0000003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3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3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3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3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$5.222.381</w:t>
            </w:r>
            <w:r>
              <w:rPr>
                <w:rtl w:val="0"/>
              </w:rPr>
            </w:r>
          </w:p>
        </w:tc>
      </w:tr>
      <w:tr>
        <w:trPr>
          <w:cantSplit/>
          <w:trHeight w:val="214" w:hRule="atLeast"/>
          <w:tblHeader w:val="0"/>
        </w:trPr>
        <w:tc>
          <w:tcPr>
            <w:tcMar>
              <w:top w:w="0.0" w:type="dxa"/>
              <w:bottom w:w="0.0" w:type="dxa"/>
            </w:tcMar>
            <w:vAlign w:val="center"/>
          </w:tcPr>
          <w:p w:rsidR="00000000" w:rsidDel="00000000" w:rsidP="00000000" w:rsidRDefault="00000000" w:rsidRPr="00000000" w14:paraId="0000003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IM02</w:t>
            </w:r>
            <w:r>
              <w:rPr>
                <w:rtl w:val="0"/>
              </w:rPr>
            </w:r>
          </w:p>
        </w:tc>
        <w:tc>
          <w:tcPr>
            <w:tcMar>
              <w:top w:w="0.0" w:type="dxa"/>
              <w:bottom w:w="0.0" w:type="dxa"/>
            </w:tcMar>
            <w:vAlign w:val="center"/>
          </w:tcPr>
          <w:p w:rsidR="00000000" w:rsidDel="00000000" w:rsidP="00000000" w:rsidRDefault="00000000" w:rsidRPr="00000000" w14:paraId="0000003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Ferrando Jaco (Infra. de MCU 02)</w:t>
            </w:r>
            <w:r>
              <w:rPr>
                <w:rtl w:val="0"/>
              </w:rPr>
            </w:r>
          </w:p>
        </w:tc>
        <w:tc>
          <w:tcPr>
            <w:tcMar>
              <w:top w:w="0.0" w:type="dxa"/>
              <w:bottom w:w="0.0" w:type="dxa"/>
            </w:tcMar>
            <w:vAlign w:val="center"/>
          </w:tcPr>
          <w:p w:rsidR="00000000" w:rsidDel="00000000" w:rsidP="00000000" w:rsidRDefault="00000000" w:rsidRPr="00000000" w14:paraId="0000003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50,65</w:t>
            </w:r>
            <w:r>
              <w:rPr>
                <w:rtl w:val="0"/>
              </w:rPr>
            </w:r>
          </w:p>
        </w:tc>
        <w:tc>
          <w:tcPr>
            <w:tcMar>
              <w:top w:w="0.0" w:type="dxa"/>
              <w:bottom w:w="0.0" w:type="dxa"/>
            </w:tcMar>
            <w:vAlign w:val="center"/>
          </w:tcPr>
          <w:p w:rsidR="00000000" w:rsidDel="00000000" w:rsidP="00000000" w:rsidRDefault="00000000" w:rsidRPr="00000000" w14:paraId="0000003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3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3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3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3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$2.595.306</w:t>
            </w:r>
            <w:r>
              <w:rPr>
                <w:rtl w:val="0"/>
              </w:rPr>
            </w:r>
          </w:p>
        </w:tc>
      </w:tr>
      <w:tr>
        <w:trPr>
          <w:cantSplit/>
          <w:trHeight w:val="234" w:hRule="atLeast"/>
          <w:tblHeader w:val="0"/>
        </w:trPr>
        <w:tc>
          <w:tcPr>
            <w:tcMar>
              <w:top w:w="0.0" w:type="dxa"/>
              <w:bottom w:w="0.0" w:type="dxa"/>
            </w:tcMar>
            <w:vAlign w:val="center"/>
          </w:tcPr>
          <w:p w:rsidR="00000000" w:rsidDel="00000000" w:rsidP="00000000" w:rsidRDefault="00000000" w:rsidRPr="00000000" w14:paraId="0000003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IR</w:t>
            </w:r>
            <w:r>
              <w:rPr>
                <w:rtl w:val="0"/>
              </w:rPr>
            </w:r>
          </w:p>
        </w:tc>
        <w:tc>
          <w:tcPr>
            <w:tcMar>
              <w:top w:w="0.0" w:type="dxa"/>
              <w:bottom w:w="0.0" w:type="dxa"/>
            </w:tcMar>
            <w:vAlign w:val="center"/>
          </w:tcPr>
          <w:p w:rsidR="00000000" w:rsidDel="00000000" w:rsidP="00000000" w:rsidRDefault="00000000" w:rsidRPr="00000000" w14:paraId="0000004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Montenegro Franco (Infra. de Red)</w:t>
            </w:r>
            <w:r>
              <w:rPr>
                <w:rtl w:val="0"/>
              </w:rPr>
            </w:r>
          </w:p>
        </w:tc>
        <w:tc>
          <w:tcPr>
            <w:tcMar>
              <w:top w:w="0.0" w:type="dxa"/>
              <w:bottom w:w="0.0" w:type="dxa"/>
            </w:tcMar>
            <w:vAlign w:val="center"/>
          </w:tcPr>
          <w:p w:rsidR="00000000" w:rsidDel="00000000" w:rsidP="00000000" w:rsidRDefault="00000000" w:rsidRPr="00000000" w14:paraId="0000004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38,52</w:t>
            </w:r>
            <w:r>
              <w:rPr>
                <w:rtl w:val="0"/>
              </w:rPr>
            </w:r>
          </w:p>
        </w:tc>
        <w:tc>
          <w:tcPr>
            <w:tcMar>
              <w:top w:w="0.0" w:type="dxa"/>
              <w:bottom w:w="0.0" w:type="dxa"/>
            </w:tcMar>
            <w:vAlign w:val="center"/>
          </w:tcPr>
          <w:p w:rsidR="00000000" w:rsidDel="00000000" w:rsidP="00000000" w:rsidRDefault="00000000" w:rsidRPr="00000000" w14:paraId="0000004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4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4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4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4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$1.973.765</w:t>
            </w:r>
            <w:r>
              <w:rPr>
                <w:rtl w:val="0"/>
              </w:rPr>
            </w:r>
          </w:p>
        </w:tc>
      </w:tr>
      <w:tr>
        <w:trPr>
          <w:cantSplit/>
          <w:trHeight w:val="214" w:hRule="atLeast"/>
          <w:tblHeader w:val="0"/>
        </w:trPr>
        <w:tc>
          <w:tcPr>
            <w:tcMar>
              <w:top w:w="0.0" w:type="dxa"/>
              <w:bottom w:w="0.0" w:type="dxa"/>
            </w:tcMar>
            <w:vAlign w:val="center"/>
          </w:tcPr>
          <w:p w:rsidR="00000000" w:rsidDel="00000000" w:rsidP="00000000" w:rsidRDefault="00000000" w:rsidRPr="00000000" w14:paraId="0000004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BD</w:t>
            </w:r>
            <w:r>
              <w:rPr>
                <w:rtl w:val="0"/>
              </w:rPr>
            </w:r>
          </w:p>
        </w:tc>
        <w:tc>
          <w:tcPr>
            <w:tcMar>
              <w:top w:w="0.0" w:type="dxa"/>
              <w:bottom w:w="0.0" w:type="dxa"/>
            </w:tcMar>
            <w:vAlign w:val="center"/>
          </w:tcPr>
          <w:p w:rsidR="00000000" w:rsidDel="00000000" w:rsidP="00000000" w:rsidRDefault="00000000" w:rsidRPr="00000000" w14:paraId="0000004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Administrador de BD</w:t>
            </w:r>
            <w:r>
              <w:rPr>
                <w:rtl w:val="0"/>
              </w:rPr>
            </w:r>
          </w:p>
        </w:tc>
        <w:tc>
          <w:tcPr>
            <w:tcMar>
              <w:top w:w="0.0" w:type="dxa"/>
              <w:bottom w:w="0.0" w:type="dxa"/>
            </w:tcMar>
            <w:vAlign w:val="center"/>
          </w:tcPr>
          <w:p w:rsidR="00000000" w:rsidDel="00000000" w:rsidP="00000000" w:rsidRDefault="00000000" w:rsidRPr="00000000" w14:paraId="0000004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17,90</w:t>
            </w:r>
            <w:r>
              <w:rPr>
                <w:rtl w:val="0"/>
              </w:rPr>
            </w:r>
          </w:p>
        </w:tc>
        <w:tc>
          <w:tcPr>
            <w:tcMar>
              <w:top w:w="0.0" w:type="dxa"/>
              <w:bottom w:w="0.0" w:type="dxa"/>
            </w:tcMar>
            <w:vAlign w:val="center"/>
          </w:tcPr>
          <w:p w:rsidR="00000000" w:rsidDel="00000000" w:rsidP="00000000" w:rsidRDefault="00000000" w:rsidRPr="00000000" w14:paraId="0000004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4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4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4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4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$917.196</w:t>
            </w:r>
            <w:r>
              <w:rPr>
                <w:rtl w:val="0"/>
              </w:rPr>
            </w:r>
          </w:p>
        </w:tc>
      </w:tr>
      <w:tr>
        <w:trPr>
          <w:cantSplit/>
          <w:trHeight w:val="214" w:hRule="atLeast"/>
          <w:tblHeader w:val="0"/>
        </w:trPr>
        <w:tc>
          <w:tcPr>
            <w:tcMar>
              <w:top w:w="0.0" w:type="dxa"/>
              <w:bottom w:w="0.0" w:type="dxa"/>
            </w:tcMar>
            <w:vAlign w:val="center"/>
          </w:tcPr>
          <w:p w:rsidR="00000000" w:rsidDel="00000000" w:rsidP="00000000" w:rsidRDefault="00000000" w:rsidRPr="00000000" w14:paraId="0000004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DUX</w:t>
            </w:r>
            <w:r>
              <w:rPr>
                <w:rtl w:val="0"/>
              </w:rPr>
            </w:r>
          </w:p>
        </w:tc>
        <w:tc>
          <w:tcPr>
            <w:tcMar>
              <w:top w:w="0.0" w:type="dxa"/>
              <w:bottom w:w="0.0" w:type="dxa"/>
            </w:tcMar>
            <w:vAlign w:val="center"/>
          </w:tcPr>
          <w:p w:rsidR="00000000" w:rsidDel="00000000" w:rsidP="00000000" w:rsidRDefault="00000000" w:rsidRPr="00000000" w14:paraId="0000005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Diseñador UX/UI (Jaco / landing)</w:t>
            </w:r>
            <w:r>
              <w:rPr>
                <w:rtl w:val="0"/>
              </w:rPr>
            </w:r>
          </w:p>
        </w:tc>
        <w:tc>
          <w:tcPr>
            <w:tcMar>
              <w:top w:w="0.0" w:type="dxa"/>
              <w:bottom w:w="0.0" w:type="dxa"/>
            </w:tcMar>
            <w:vAlign w:val="center"/>
          </w:tcPr>
          <w:p w:rsidR="00000000" w:rsidDel="00000000" w:rsidP="00000000" w:rsidRDefault="00000000" w:rsidRPr="00000000" w14:paraId="0000005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79,92</w:t>
            </w:r>
            <w:r>
              <w:rPr>
                <w:rtl w:val="0"/>
              </w:rPr>
            </w:r>
          </w:p>
        </w:tc>
        <w:tc>
          <w:tcPr>
            <w:tcMar>
              <w:top w:w="0.0" w:type="dxa"/>
              <w:bottom w:w="0.0" w:type="dxa"/>
            </w:tcMar>
            <w:vAlign w:val="center"/>
          </w:tcPr>
          <w:p w:rsidR="00000000" w:rsidDel="00000000" w:rsidP="00000000" w:rsidRDefault="00000000" w:rsidRPr="00000000" w14:paraId="0000005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27</w:t>
            </w:r>
            <w:r>
              <w:rPr>
                <w:rtl w:val="0"/>
              </w:rPr>
            </w:r>
          </w:p>
        </w:tc>
        <w:tc>
          <w:tcPr>
            <w:tcMar>
              <w:top w:w="0.0" w:type="dxa"/>
              <w:bottom w:w="0.0" w:type="dxa"/>
            </w:tcMar>
            <w:vAlign w:val="center"/>
          </w:tcPr>
          <w:p w:rsidR="00000000" w:rsidDel="00000000" w:rsidP="00000000" w:rsidRDefault="00000000" w:rsidRPr="00000000" w14:paraId="0000005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5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41.175</w:t>
            </w:r>
            <w:r>
              <w:rPr>
                <w:rtl w:val="0"/>
              </w:rPr>
            </w:r>
          </w:p>
        </w:tc>
        <w:tc>
          <w:tcPr>
            <w:tcMar>
              <w:top w:w="0.0" w:type="dxa"/>
              <w:bottom w:w="0.0" w:type="dxa"/>
            </w:tcMar>
            <w:vAlign w:val="center"/>
          </w:tcPr>
          <w:p w:rsidR="00000000" w:rsidDel="00000000" w:rsidP="00000000" w:rsidRDefault="00000000" w:rsidRPr="00000000" w14:paraId="0000005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5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$3.455.241</w:t>
            </w:r>
            <w:r>
              <w:rPr>
                <w:rtl w:val="0"/>
              </w:rPr>
            </w:r>
          </w:p>
        </w:tc>
      </w:tr>
      <w:tr>
        <w:trPr>
          <w:cantSplit/>
          <w:trHeight w:val="214" w:hRule="atLeast"/>
          <w:tblHeader w:val="0"/>
        </w:trPr>
        <w:tc>
          <w:tcPr>
            <w:tcMar>
              <w:top w:w="0.0" w:type="dxa"/>
              <w:bottom w:w="0.0" w:type="dxa"/>
            </w:tcMar>
            <w:vAlign w:val="center"/>
          </w:tcPr>
          <w:p w:rsidR="00000000" w:rsidDel="00000000" w:rsidP="00000000" w:rsidRDefault="00000000" w:rsidRPr="00000000" w14:paraId="0000005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ELE</w:t>
            </w:r>
            <w:r>
              <w:rPr>
                <w:rtl w:val="0"/>
              </w:rPr>
            </w:r>
          </w:p>
        </w:tc>
        <w:tc>
          <w:tcPr>
            <w:tcMar>
              <w:top w:w="0.0" w:type="dxa"/>
              <w:bottom w:w="0.0" w:type="dxa"/>
            </w:tcMar>
            <w:vAlign w:val="center"/>
          </w:tcPr>
          <w:p w:rsidR="00000000" w:rsidDel="00000000" w:rsidP="00000000" w:rsidRDefault="00000000" w:rsidRPr="00000000" w14:paraId="0000005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Zamora Nahuel (Electrónica)</w:t>
            </w:r>
            <w:r>
              <w:rPr>
                <w:rtl w:val="0"/>
              </w:rPr>
            </w:r>
          </w:p>
        </w:tc>
        <w:tc>
          <w:tcPr>
            <w:tcMar>
              <w:top w:w="0.0" w:type="dxa"/>
              <w:bottom w:w="0.0" w:type="dxa"/>
            </w:tcMar>
            <w:vAlign w:val="center"/>
          </w:tcPr>
          <w:p w:rsidR="00000000" w:rsidDel="00000000" w:rsidP="00000000" w:rsidRDefault="00000000" w:rsidRPr="00000000" w14:paraId="0000005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59,45</w:t>
            </w:r>
            <w:r>
              <w:rPr>
                <w:rtl w:val="0"/>
              </w:rPr>
            </w:r>
          </w:p>
        </w:tc>
        <w:tc>
          <w:tcPr>
            <w:tcMar>
              <w:top w:w="0.0" w:type="dxa"/>
              <w:bottom w:w="0.0" w:type="dxa"/>
            </w:tcMar>
            <w:vAlign w:val="center"/>
          </w:tcPr>
          <w:p w:rsidR="00000000" w:rsidDel="00000000" w:rsidP="00000000" w:rsidRDefault="00000000" w:rsidRPr="00000000" w14:paraId="0000005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30</w:t>
            </w:r>
            <w:r>
              <w:rPr>
                <w:rtl w:val="0"/>
              </w:rPr>
            </w:r>
          </w:p>
        </w:tc>
        <w:tc>
          <w:tcPr>
            <w:tcMar>
              <w:top w:w="0.0" w:type="dxa"/>
              <w:bottom w:w="0.0" w:type="dxa"/>
            </w:tcMar>
            <w:vAlign w:val="center"/>
          </w:tcPr>
          <w:p w:rsidR="00000000" w:rsidDel="00000000" w:rsidP="00000000" w:rsidRDefault="00000000" w:rsidRPr="00000000" w14:paraId="0000005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5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45.750</w:t>
            </w:r>
            <w:r>
              <w:rPr>
                <w:rtl w:val="0"/>
              </w:rPr>
            </w:r>
          </w:p>
        </w:tc>
        <w:tc>
          <w:tcPr>
            <w:tcMar>
              <w:top w:w="0.0" w:type="dxa"/>
              <w:bottom w:w="0.0" w:type="dxa"/>
            </w:tcMar>
            <w:vAlign w:val="center"/>
          </w:tcPr>
          <w:p w:rsidR="00000000" w:rsidDel="00000000" w:rsidP="00000000" w:rsidRDefault="00000000" w:rsidRPr="00000000" w14:paraId="0000005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5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$2.855.829</w:t>
            </w:r>
            <w:r>
              <w:rPr>
                <w:rtl w:val="0"/>
              </w:rPr>
            </w:r>
          </w:p>
        </w:tc>
      </w:tr>
      <w:tr>
        <w:trPr>
          <w:cantSplit/>
          <w:trHeight w:val="214" w:hRule="atLeast"/>
          <w:tblHeader w:val="0"/>
        </w:trPr>
        <w:tc>
          <w:tcPr>
            <w:tcMar>
              <w:top w:w="0.0" w:type="dxa"/>
              <w:bottom w:w="0.0" w:type="dxa"/>
            </w:tcMar>
            <w:vAlign w:val="center"/>
          </w:tcPr>
          <w:p w:rsidR="00000000" w:rsidDel="00000000" w:rsidP="00000000" w:rsidRDefault="00000000" w:rsidRPr="00000000" w14:paraId="0000005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MUL</w:t>
            </w:r>
            <w:r>
              <w:rPr>
                <w:rtl w:val="0"/>
              </w:rPr>
            </w:r>
          </w:p>
        </w:tc>
        <w:tc>
          <w:tcPr>
            <w:tcMar>
              <w:top w:w="0.0" w:type="dxa"/>
              <w:bottom w:w="0.0" w:type="dxa"/>
            </w:tcMar>
            <w:vAlign w:val="center"/>
          </w:tcPr>
          <w:p w:rsidR="00000000" w:rsidDel="00000000" w:rsidP="00000000" w:rsidRDefault="00000000" w:rsidRPr="00000000" w14:paraId="0000006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Funes Muriel (Multimedios)</w:t>
            </w:r>
            <w:r>
              <w:rPr>
                <w:rtl w:val="0"/>
              </w:rPr>
            </w:r>
          </w:p>
        </w:tc>
        <w:tc>
          <w:tcPr>
            <w:tcMar>
              <w:top w:w="0.0" w:type="dxa"/>
              <w:bottom w:w="0.0" w:type="dxa"/>
            </w:tcMar>
            <w:vAlign w:val="center"/>
          </w:tcPr>
          <w:p w:rsidR="00000000" w:rsidDel="00000000" w:rsidP="00000000" w:rsidRDefault="00000000" w:rsidRPr="00000000" w14:paraId="0000006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29,00</w:t>
            </w:r>
            <w:r>
              <w:rPr>
                <w:rtl w:val="0"/>
              </w:rPr>
            </w:r>
          </w:p>
        </w:tc>
        <w:tc>
          <w:tcPr>
            <w:tcMar>
              <w:top w:w="0.0" w:type="dxa"/>
              <w:bottom w:w="0.0" w:type="dxa"/>
            </w:tcMar>
            <w:vAlign w:val="center"/>
          </w:tcPr>
          <w:p w:rsidR="00000000" w:rsidDel="00000000" w:rsidP="00000000" w:rsidRDefault="00000000" w:rsidRPr="00000000" w14:paraId="0000006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27</w:t>
            </w:r>
            <w:r>
              <w:rPr>
                <w:rtl w:val="0"/>
              </w:rPr>
            </w:r>
          </w:p>
        </w:tc>
        <w:tc>
          <w:tcPr>
            <w:tcMar>
              <w:top w:w="0.0" w:type="dxa"/>
              <w:bottom w:w="0.0" w:type="dxa"/>
            </w:tcMar>
            <w:vAlign w:val="center"/>
          </w:tcPr>
          <w:p w:rsidR="00000000" w:rsidDel="00000000" w:rsidP="00000000" w:rsidRDefault="00000000" w:rsidRPr="00000000" w14:paraId="0000006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6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41.175</w:t>
            </w:r>
            <w:r>
              <w:rPr>
                <w:rtl w:val="0"/>
              </w:rPr>
            </w:r>
          </w:p>
        </w:tc>
        <w:tc>
          <w:tcPr>
            <w:tcMar>
              <w:top w:w="0.0" w:type="dxa"/>
              <w:bottom w:w="0.0" w:type="dxa"/>
            </w:tcMar>
            <w:vAlign w:val="center"/>
          </w:tcPr>
          <w:p w:rsidR="00000000" w:rsidDel="00000000" w:rsidP="00000000" w:rsidRDefault="00000000" w:rsidRPr="00000000" w14:paraId="0000006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6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$1.253.779</w:t>
            </w:r>
            <w:r>
              <w:rPr>
                <w:rtl w:val="0"/>
              </w:rPr>
            </w:r>
          </w:p>
        </w:tc>
      </w:tr>
      <w:tr>
        <w:trPr>
          <w:cantSplit/>
          <w:trHeight w:val="293" w:hRule="atLeast"/>
          <w:tblHeader w:val="0"/>
        </w:trPr>
        <w:tc>
          <w:tcPr>
            <w:gridSpan w:val="7"/>
            <w:shd w:fill="DCE7F0" w:val="clear"/>
            <w:tcMar>
              <w:top w:w="0.0" w:type="dxa"/>
              <w:bottom w:w="0.0" w:type="dxa"/>
            </w:tcMar>
          </w:tcPr>
          <w:p w:rsidR="00000000" w:rsidDel="00000000" w:rsidP="00000000" w:rsidRDefault="00000000" w:rsidRPr="00000000" w14:paraId="0000006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sz w:val="24"/>
                <w:szCs w:val="24"/>
                <w:rtl w:val="0"/>
              </w:rPr>
              <w:t xml:space="preserve">SUBTOTAL COSTOS DE PERSONAL</w:t>
            </w:r>
            <w:r>
              <w:rPr>
                <w:rtl w:val="0"/>
              </w:rPr>
            </w:r>
          </w:p>
        </w:tc>
        <w:tc>
          <w:tcPr>
            <w:shd w:fill="DCE7F0" w:val="clear"/>
            <w:tcMar>
              <w:top w:w="0.0" w:type="dxa"/>
              <w:bottom w:w="0.0" w:type="dxa"/>
            </w:tcMar>
            <w:vAlign w:val="center"/>
          </w:tcPr>
          <w:p w:rsidR="00000000" w:rsidDel="00000000" w:rsidP="00000000" w:rsidRDefault="00000000" w:rsidRPr="00000000" w14:paraId="0000006E">
            <w:pPr>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$31.793.299</w:t>
            </w:r>
            <w:r>
              <w:rPr>
                <w:rtl w:val="0"/>
              </w:rPr>
            </w:r>
          </w:p>
        </w:tc>
      </w:tr>
    </w:tbl>
    <w:p w:rsidR="00000000" w:rsidDel="00000000" w:rsidP="00000000" w:rsidRDefault="00000000" w:rsidRPr="00000000" w14:paraId="0000006F">
      <w:pPr>
        <w:pStyle w:val="Heading2"/>
        <w:spacing w:after="150" w:before="300" w:lineRule="auto"/>
        <w:rPr>
          <w:rFonts w:ascii="Questrial" w:cs="Questrial" w:eastAsia="Questrial" w:hAnsi="Questrial"/>
          <w:sz w:val="28"/>
          <w:szCs w:val="28"/>
        </w:rPr>
      </w:pPr>
      <w:r>
        <w:rPr>
          <w:rtl w:val="0"/>
        </w:rPr>
      </w:r>
    </w:p>
    <w:p w:rsidR="00000000" w:rsidDel="00000000" w:rsidP="00000000" w:rsidRDefault="00000000" w:rsidRPr="00000000" w14:paraId="00000070">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3.2 Costos de componentes electrónicos</w:t>
      </w:r>
    </w:p>
    <w:p w:rsidR="00000000" w:rsidDel="00000000" w:rsidP="00000000" w:rsidRDefault="00000000" w:rsidRPr="00000000" w14:paraId="00000071">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Corresponde al presupuesto de componentes ya relevado, agrupado en los mismos 4 bloques de compra.</w:t>
      </w:r>
    </w:p>
    <w:p w:rsidR="00000000" w:rsidDel="00000000" w:rsidP="00000000" w:rsidRDefault="00000000" w:rsidRPr="00000000" w14:paraId="00000072">
      <w:pPr>
        <w:spacing w:after="150" w:lineRule="auto"/>
        <w:jc w:val="both"/>
        <w:rPr>
          <w:rFonts w:ascii="IBM Plex Sans" w:cs="IBM Plex Sans" w:eastAsia="IBM Plex Sans" w:hAnsi="IBM Plex Sans"/>
          <w:sz w:val="24"/>
          <w:szCs w:val="24"/>
        </w:rPr>
      </w:pPr>
      <w:sdt>
        <w:sdtPr>
          <w:tag w:val="goog_rdk_0"/>
          <w:id w:val="663124119"/>
        </w:sdtPr>
        <w:sdtContent>
          <w:r>
            <w:rPr>
              <w:rFonts w:ascii="IBM Plex Sans" w:cs="IBM Plex Sans" w:eastAsia="IBM Plex Sans" w:hAnsi="IBM Plex Sans"/>
              <w:sz w:val="24"/>
              <w:szCs w:val="24"/>
              <w:rtl w:val="0"/>
            </w:rPr>
            <w:t xml:space="preserve">⚠ Actualización 19-24/08/26: se confirmó el modelo real del telar (Vamatex C 201) y su botonera (24V AC, medida en la máquina). El alcance del Bloque A se mantiene en 3 relés (Marcha, Pausa, Retroceder) y se le sumó el sensado de esos mismos tres botones mediante optoacopladores, para que la web detecte cuándo se los usa a mano en la máquina. La alimentación del sistema es una fuente propia HLK-5M05 (220V→5V), independiente del telar. El Bloque B pasó a ser medición/test sin costo (instrumental prestado). Con el gabinete, prensacables y borneras ya cargados como costo real, y con las actualizaciones de octubre (abajo), el subtotal de componentes queda en $150.839.</w:t>
          </w:r>
        </w:sdtContent>
      </w:sdt>
    </w:p>
    <w:p w:rsidR="00000000" w:rsidDel="00000000" w:rsidP="00000000" w:rsidRDefault="00000000" w:rsidRPr="00000000">
      <w:pPr>
        <w:spacing w:after="150" w:lineRule="auto"/>
        <w:jc w:val="both"/>
        <w:rPr>
          <w:rFonts w:ascii="IBM Plex Sans" w:cs="IBM Plex Sans" w:eastAsia="IBM Plex Sans" w:hAnsi="IBM Plex Sans"/>
          <w:sz w:val="24"/>
          <w:szCs w:val="24"/>
        </w:rPr>
      </w:pPr>
      <w:sdt>
        <w:sdtPr>
          <w:tag w:val="goog_rdk_0"/>
          <w:id w:val="663124119"/>
        </w:sdtPr>
        <w:sdtContent>
          <w:r>
            <w:rPr>
              <w:rFonts w:ascii="IBM Plex Sans" w:cs="IBM Plex Sans" w:eastAsia="IBM Plex Sans" w:hAnsi="IBM Plex Sans"/>
              <w:sz w:val="24"/>
              <w:szCs w:val="24"/>
              <w:rtl w:val="0"/>
            </w:rPr>
            <w:t xml:space="preserve">⚠ Actualización 25-30/10/26: se sumó la plaqueta del ESP32 (placa, tiras de pines hembra y macho y los cables hasta la principal), porque en la plaqueta principal impresa la tira derecha del ESP32 quedó con los pines en otro orden; y se puso un precio estimado a lo que figuraba «a completar» (placa del Nivel 2, tiras de pines, zócalos DIP-6, resistencias del lado del telar y borneras de 4 vías). Se sacaron de la lista los ítems que no se usan (el regulador 7824, el puente rectificador y el capacitor del Bloque C). El subtotal pasa a $150.839: Bloque A $81.453, Bloque C $13.950 y Bloque D $55.436. Todo quedó comprado e instalado y el sistema completo se probó en el telar el 30/10/2026.</w:t>
          </w:r>
        </w:sdtContent>
      </w:sdt>
    </w:p>
    <w:tbl>
      <w:tblPr>
        <w:tblStyle w:val="Table2"/>
        <w:tblW w:w="150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24"/>
        <w:gridCol w:w="4621"/>
        <w:gridCol w:w="6046"/>
        <w:gridCol w:w="2315"/>
        <w:tblGridChange w:id="0">
          <w:tblGrid>
            <w:gridCol w:w="2024"/>
            <w:gridCol w:w="4621"/>
            <w:gridCol w:w="6046"/>
            <w:gridCol w:w="2315"/>
          </w:tblGrid>
        </w:tblGridChange>
      </w:tblGrid>
      <w:tr>
        <w:trPr>
          <w:cantSplit/>
          <w:trHeight w:val="234" w:hRule="atLeast"/>
          <w:tblHeader w:val="1"/>
        </w:trPr>
        <w:tc>
          <w:tcPr>
            <w:shd w:fill="1E3A5F" w:val="clear"/>
            <w:tcMar>
              <w:top w:w="0.0" w:type="dxa"/>
              <w:bottom w:w="0.0" w:type="dxa"/>
            </w:tcMar>
            <w:vAlign w:val="center"/>
          </w:tcPr>
          <w:p w:rsidR="00000000" w:rsidDel="00000000" w:rsidP="00000000" w:rsidRDefault="00000000" w:rsidRPr="00000000" w14:paraId="00000073">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Bloque</w:t>
            </w:r>
            <w:r>
              <w:rPr>
                <w:rtl w:val="0"/>
              </w:rPr>
            </w:r>
          </w:p>
        </w:tc>
        <w:tc>
          <w:tcPr>
            <w:shd w:fill="1E3A5F" w:val="clear"/>
            <w:tcMar>
              <w:top w:w="0.0" w:type="dxa"/>
              <w:bottom w:w="0.0" w:type="dxa"/>
            </w:tcMar>
            <w:vAlign w:val="center"/>
          </w:tcPr>
          <w:p w:rsidR="00000000" w:rsidDel="00000000" w:rsidP="00000000" w:rsidRDefault="00000000" w:rsidRPr="00000000" w14:paraId="00000074">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Descripción</w:t>
            </w:r>
            <w:r>
              <w:rPr>
                <w:rtl w:val="0"/>
              </w:rPr>
            </w:r>
          </w:p>
        </w:tc>
        <w:tc>
          <w:tcPr>
            <w:shd w:fill="1E3A5F" w:val="clear"/>
            <w:tcMar>
              <w:top w:w="0.0" w:type="dxa"/>
              <w:bottom w:w="0.0" w:type="dxa"/>
            </w:tcMar>
            <w:vAlign w:val="center"/>
          </w:tcPr>
          <w:p w:rsidR="00000000" w:rsidDel="00000000" w:rsidP="00000000" w:rsidRDefault="00000000" w:rsidRPr="00000000" w14:paraId="00000075">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Momento de compra</w:t>
            </w:r>
            <w:r>
              <w:rPr>
                <w:rtl w:val="0"/>
              </w:rPr>
            </w:r>
          </w:p>
        </w:tc>
        <w:tc>
          <w:tcPr>
            <w:shd w:fill="1E3A5F" w:val="clear"/>
            <w:tcMar>
              <w:top w:w="0.0" w:type="dxa"/>
              <w:bottom w:w="0.0" w:type="dxa"/>
            </w:tcMar>
            <w:vAlign w:val="center"/>
          </w:tcPr>
          <w:p w:rsidR="00000000" w:rsidDel="00000000" w:rsidP="00000000" w:rsidRDefault="00000000" w:rsidRPr="00000000" w14:paraId="00000076">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Subtotal (ARS)</w:t>
            </w:r>
            <w:r>
              <w:rPr>
                <w:rtl w:val="0"/>
              </w:rPr>
            </w:r>
          </w:p>
        </w:tc>
      </w:tr>
      <w:tr>
        <w:trPr>
          <w:cantSplit/>
          <w:trHeight w:val="234" w:hRule="atLeast"/>
          <w:tblHeader w:val="0"/>
        </w:trPr>
        <w:tc>
          <w:tcPr>
            <w:tcMar>
              <w:top w:w="0.0" w:type="dxa"/>
              <w:bottom w:w="0.0" w:type="dxa"/>
            </w:tcMar>
            <w:vAlign w:val="center"/>
          </w:tcPr>
          <w:p w:rsidR="00000000" w:rsidDel="00000000" w:rsidP="00000000" w:rsidRDefault="00000000" w:rsidRPr="00000000" w14:paraId="0000007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Bloque A</w:t>
            </w:r>
            <w:r>
              <w:rPr>
                <w:rtl w:val="0"/>
              </w:rPr>
            </w:r>
          </w:p>
        </w:tc>
        <w:tc>
          <w:tcPr>
            <w:tcMar>
              <w:top w:w="0.0" w:type="dxa"/>
              <w:bottom w:w="0.0" w:type="dxa"/>
            </w:tcMar>
            <w:vAlign w:val="center"/>
          </w:tcPr>
          <w:p w:rsidR="00000000" w:rsidDel="00000000" w:rsidP="00000000" w:rsidRDefault="00000000" w:rsidRPr="00000000" w14:paraId="0000007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Nivel 1: Marcha, Pausa y Retroceder en el telar</w:t>
            </w:r>
            <w:r>
              <w:rPr>
                <w:rtl w:val="0"/>
              </w:rPr>
            </w:r>
          </w:p>
        </w:tc>
        <w:tc>
          <w:tcPr>
            <w:tcMar>
              <w:top w:w="0.0" w:type="dxa"/>
              <w:bottom w:w="0.0" w:type="dxa"/>
            </w:tcMar>
            <w:vAlign w:val="center"/>
          </w:tcPr>
          <w:p w:rsidR="00000000" w:rsidDel="00000000" w:rsidP="00000000" w:rsidRDefault="00000000" w:rsidRPr="00000000" w14:paraId="00000079">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Comprado e instalado (Etapa 4)</w:t>
            </w:r>
            <w:r>
              <w:rPr>
                <w:rtl w:val="0"/>
              </w:rPr>
            </w:r>
          </w:p>
        </w:tc>
        <w:tc>
          <w:tcPr>
            <w:tcMar>
              <w:top w:w="0.0" w:type="dxa"/>
              <w:bottom w:w="0.0" w:type="dxa"/>
            </w:tcMar>
            <w:vAlign w:val="center"/>
          </w:tcPr>
          <w:p w:rsidR="00000000" w:rsidDel="00000000" w:rsidP="00000000" w:rsidRDefault="00000000" w:rsidRPr="00000000" w14:paraId="0000007A">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$81.453</w:t>
            </w:r>
          </w:p>
        </w:tc>
      </w:tr>
      <w:tr>
        <w:trPr>
          <w:cantSplit/>
          <w:trHeight w:val="234" w:hRule="atLeast"/>
          <w:tblHeader w:val="0"/>
        </w:trPr>
        <w:tc>
          <w:tcPr>
            <w:tcMar>
              <w:top w:w="0.0" w:type="dxa"/>
              <w:bottom w:w="0.0" w:type="dxa"/>
            </w:tcMar>
            <w:vAlign w:val="center"/>
          </w:tcPr>
          <w:p w:rsidR="00000000" w:rsidDel="00000000" w:rsidP="00000000" w:rsidRDefault="00000000" w:rsidRPr="00000000" w14:paraId="0000007B">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w:t>
            </w:r>
            <w:r>
              <w:rPr>
                <w:rtl w:val="0"/>
              </w:rPr>
            </w:r>
          </w:p>
        </w:tc>
        <w:tc>
          <w:tcPr>
            <w:tcMar>
              <w:top w:w="0.0" w:type="dxa"/>
              <w:bottom w:w="0.0" w:type="dxa"/>
            </w:tcMar>
            <w:vAlign w:val="center"/>
          </w:tcPr>
          <w:p w:rsidR="00000000" w:rsidDel="00000000" w:rsidP="00000000" w:rsidRDefault="00000000" w:rsidRPr="00000000" w14:paraId="0000007C">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Medición del telar</w:t>
            </w:r>
            <w:r>
              <w:rPr>
                <w:rtl w:val="0"/>
              </w:rPr>
            </w:r>
          </w:p>
        </w:tc>
        <w:tc>
          <w:tcPr>
            <w:tcMar>
              <w:top w:w="0.0" w:type="dxa"/>
              <w:bottom w:w="0.0" w:type="dxa"/>
            </w:tcMar>
            <w:vAlign w:val="center"/>
          </w:tcPr>
          <w:p w:rsidR="00000000" w:rsidDel="00000000" w:rsidP="00000000" w:rsidRDefault="00000000" w:rsidRPr="00000000" w14:paraId="0000007D">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Casi todo prestado / gratis, primer paso</w:t>
            </w:r>
            <w:r>
              <w:rPr>
                <w:rtl w:val="0"/>
              </w:rPr>
            </w:r>
          </w:p>
        </w:tc>
        <w:tc>
          <w:tcPr>
            <w:tcMar>
              <w:top w:w="0.0" w:type="dxa"/>
              <w:bottom w:w="0.0" w:type="dxa"/>
            </w:tcMar>
            <w:vAlign w:val="center"/>
          </w:tcPr>
          <w:p w:rsidR="00000000" w:rsidDel="00000000" w:rsidP="00000000" w:rsidRDefault="00000000" w:rsidRPr="00000000" w14:paraId="0000007E">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Incluido en gastos operativos</w:t>
            </w:r>
          </w:p>
        </w:tc>
      </w:tr>
      <w:tr>
        <w:trPr>
          <w:cantSplit/>
          <w:trHeight w:val="255" w:hRule="atLeast"/>
          <w:tblHeader w:val="0"/>
        </w:trPr>
        <w:tc>
          <w:tcPr>
            <w:tcMar>
              <w:top w:w="0.0" w:type="dxa"/>
              <w:bottom w:w="0.0" w:type="dxa"/>
            </w:tcMar>
            <w:vAlign w:val="center"/>
          </w:tcPr>
          <w:p w:rsidR="00000000" w:rsidDel="00000000" w:rsidP="00000000" w:rsidRDefault="00000000" w:rsidRPr="00000000" w14:paraId="0000007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Bloque C</w:t>
            </w:r>
            <w:r>
              <w:rPr>
                <w:rtl w:val="0"/>
              </w:rPr>
            </w:r>
          </w:p>
        </w:tc>
        <w:tc>
          <w:tcPr>
            <w:tcMar>
              <w:top w:w="0.0" w:type="dxa"/>
              <w:bottom w:w="0.0" w:type="dxa"/>
            </w:tcMar>
            <w:vAlign w:val="center"/>
          </w:tcPr>
          <w:p w:rsidR="00000000" w:rsidDel="00000000" w:rsidP="00000000" w:rsidRDefault="00000000" w:rsidRPr="00000000" w14:paraId="0000008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Sensor de pasada</w:t>
            </w:r>
            <w:r>
              <w:rPr>
                <w:rtl w:val="0"/>
              </w:rPr>
            </w:r>
          </w:p>
        </w:tc>
        <w:tc>
          <w:tcPr>
            <w:tcMar>
              <w:top w:w="0.0" w:type="dxa"/>
              <w:bottom w:w="0.0" w:type="dxa"/>
            </w:tcMar>
            <w:vAlign w:val="center"/>
          </w:tcPr>
          <w:p w:rsidR="00000000" w:rsidDel="00000000" w:rsidP="00000000" w:rsidRDefault="00000000" w:rsidRPr="00000000" w14:paraId="00000081">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Comprado e instalado (probado el 30/10/2026)</w:t>
            </w:r>
            <w:r>
              <w:rPr>
                <w:rtl w:val="0"/>
              </w:rPr>
            </w:r>
          </w:p>
        </w:tc>
        <w:tc>
          <w:tcPr>
            <w:tcMar>
              <w:top w:w="0.0" w:type="dxa"/>
              <w:bottom w:w="0.0" w:type="dxa"/>
            </w:tcMar>
            <w:vAlign w:val="center"/>
          </w:tcPr>
          <w:p w:rsidR="00000000" w:rsidDel="00000000" w:rsidP="00000000" w:rsidRDefault="00000000" w:rsidRPr="00000000" w14:paraId="00000082">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$13.950</w:t>
            </w:r>
          </w:p>
        </w:tc>
      </w:tr>
      <w:tr>
        <w:trPr>
          <w:cantSplit/>
          <w:trHeight w:val="234" w:hRule="atLeast"/>
          <w:tblHeader w:val="0"/>
        </w:trPr>
        <w:tc>
          <w:tcPr>
            <w:tcMar>
              <w:top w:w="0.0" w:type="dxa"/>
              <w:bottom w:w="0.0" w:type="dxa"/>
            </w:tcMar>
            <w:vAlign w:val="center"/>
          </w:tcPr>
          <w:p w:rsidR="00000000" w:rsidDel="00000000" w:rsidP="00000000" w:rsidRDefault="00000000" w:rsidRPr="00000000" w14:paraId="00000083">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Bloque D</w:t>
            </w:r>
            <w:r>
              <w:rPr>
                <w:rtl w:val="0"/>
              </w:rPr>
            </w:r>
          </w:p>
        </w:tc>
        <w:tc>
          <w:tcPr>
            <w:tcMar>
              <w:top w:w="0.0" w:type="dxa"/>
              <w:bottom w:w="0.0" w:type="dxa"/>
            </w:tcMar>
            <w:vAlign w:val="center"/>
          </w:tcPr>
          <w:p w:rsidR="00000000" w:rsidDel="00000000" w:rsidP="00000000" w:rsidRDefault="00000000" w:rsidRPr="00000000" w14:paraId="00000084">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Nivel 2: bobinas de selección</w:t>
            </w:r>
            <w:r>
              <w:rPr>
                <w:rtl w:val="0"/>
              </w:rPr>
            </w:r>
          </w:p>
        </w:tc>
        <w:tc>
          <w:tcPr>
            <w:tcMar>
              <w:top w:w="0.0" w:type="dxa"/>
              <w:bottom w:w="0.0" w:type="dxa"/>
            </w:tcMar>
            <w:vAlign w:val="center"/>
          </w:tcPr>
          <w:p w:rsidR="00000000" w:rsidDel="00000000" w:rsidP="00000000" w:rsidRDefault="00000000" w:rsidRPr="00000000" w14:paraId="00000085">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Comprado e instalado (probado el 30/10/2026)</w:t>
            </w:r>
            <w:r>
              <w:rPr>
                <w:rtl w:val="0"/>
              </w:rPr>
            </w:r>
          </w:p>
        </w:tc>
        <w:tc>
          <w:tcPr>
            <w:tcMar>
              <w:top w:w="0.0" w:type="dxa"/>
              <w:bottom w:w="0.0" w:type="dxa"/>
            </w:tcMar>
            <w:vAlign w:val="center"/>
          </w:tcPr>
          <w:p w:rsidR="00000000" w:rsidDel="00000000" w:rsidP="00000000" w:rsidRDefault="00000000" w:rsidRPr="00000000" w14:paraId="00000086">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$55.436</w:t>
            </w:r>
          </w:p>
        </w:tc>
      </w:tr>
      <w:tr>
        <w:trPr>
          <w:cantSplit/>
          <w:trHeight w:val="298" w:hRule="atLeast"/>
          <w:tblHeader w:val="0"/>
        </w:trPr>
        <w:tc>
          <w:tcPr>
            <w:gridSpan w:val="3"/>
            <w:shd w:fill="DCE7F0" w:val="clear"/>
            <w:tcMar>
              <w:top w:w="0.0" w:type="dxa"/>
              <w:bottom w:w="0.0" w:type="dxa"/>
            </w:tcMar>
          </w:tcPr>
          <w:p w:rsidR="00000000" w:rsidDel="00000000" w:rsidP="00000000" w:rsidRDefault="00000000" w:rsidRPr="00000000" w14:paraId="0000008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sz w:val="24"/>
                <w:szCs w:val="24"/>
                <w:rtl w:val="0"/>
              </w:rPr>
              <w:t xml:space="preserve">SUBTOTAL COMPONENTES ELECTRÓNICOS</w:t>
            </w:r>
            <w:r>
              <w:rPr>
                <w:rtl w:val="0"/>
              </w:rPr>
            </w:r>
          </w:p>
        </w:tc>
        <w:tc>
          <w:tcPr>
            <w:shd w:fill="DCE7F0" w:val="clear"/>
            <w:tcMar>
              <w:top w:w="0.0" w:type="dxa"/>
              <w:bottom w:w="0.0" w:type="dxa"/>
            </w:tcMar>
            <w:vAlign w:val="center"/>
          </w:tcPr>
          <w:p w:rsidR="00000000" w:rsidDel="00000000" w:rsidP="00000000" w:rsidRDefault="00000000" w:rsidRPr="00000000" w14:paraId="0000008A">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$150.839</w:t>
            </w:r>
            <w:r>
              <w:rPr>
                <w:rtl w:val="0"/>
              </w:rPr>
            </w:r>
          </w:p>
        </w:tc>
      </w:tr>
    </w:tbl>
    <w:p w:rsidR="00000000" w:rsidDel="00000000" w:rsidP="00000000" w:rsidRDefault="00000000" w:rsidRPr="00000000" w14:paraId="0000008B">
      <w:pPr>
        <w:pStyle w:val="Heading2"/>
        <w:spacing w:after="150" w:before="300" w:lineRule="auto"/>
        <w:rPr>
          <w:rFonts w:ascii="Questrial" w:cs="Questrial" w:eastAsia="Questrial" w:hAnsi="Questrial"/>
          <w:sz w:val="30"/>
          <w:szCs w:val="30"/>
        </w:rPr>
      </w:pPr>
      <w:r>
        <w:rPr>
          <w:rtl w:val="0"/>
        </w:rPr>
      </w:r>
    </w:p>
    <w:p w:rsidR="00000000" w:rsidDel="00000000" w:rsidP="00000000" w:rsidRDefault="00000000" w:rsidRPr="00000000" w14:paraId="0000008C">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3.3 Costos varios / operativos</w:t>
      </w:r>
    </w:p>
    <w:p w:rsidR="00000000" w:rsidDel="00000000" w:rsidP="00000000" w:rsidRDefault="00000000" w:rsidRPr="00000000" w14:paraId="0000008D">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Gastos de funcionamiento del proyecto durante el desarrollo. ⚠ Actualización 30/10/26: quedan solo los que se usaron de verdad: los insumos materiales, con 7 % de contingencia, y dos meses de la suscripción a Claude Pro (USD 20 por mes al tipo de cambio de referencia, $1.525, sin contingencia porque es un precio fijo). Internet, los insumos tecnológicos y la entrega de productos se sacaron: no se usaron ni se pagaron.</w:t>
      </w:r>
    </w:p>
    <w:tbl>
      <w:tblPr>
        <w:tblStyle w:val="Table3"/>
        <w:tblW w:w="1493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897"/>
        <w:gridCol w:w="2506"/>
        <w:gridCol w:w="1537"/>
        <w:gridCol w:w="2094"/>
        <w:gridCol w:w="1838"/>
        <w:gridCol w:w="3059"/>
        <w:tblGridChange w:id="0">
          <w:tblGrid>
            <w:gridCol w:w="3897"/>
            <w:gridCol w:w="2506"/>
            <w:gridCol w:w="1537"/>
            <w:gridCol w:w="2094"/>
            <w:gridCol w:w="1838"/>
            <w:gridCol w:w="3059"/>
          </w:tblGrid>
        </w:tblGridChange>
      </w:tblGrid>
      <w:tr>
        <w:trPr>
          <w:cantSplit/>
          <w:trHeight w:val="234" w:hRule="atLeast"/>
          <w:tblHeader w:val="1"/>
        </w:trPr>
        <w:tc>
          <w:tcPr>
            <w:shd w:fill="1E3A5F" w:val="clear"/>
            <w:tcMar>
              <w:top w:w="0.0" w:type="dxa"/>
              <w:bottom w:w="0.0" w:type="dxa"/>
            </w:tcMar>
            <w:vAlign w:val="center"/>
          </w:tcPr>
          <w:p w:rsidR="00000000" w:rsidDel="00000000" w:rsidP="00000000" w:rsidRDefault="00000000" w:rsidRPr="00000000" w14:paraId="0000008E">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Concepto</w:t>
            </w:r>
            <w:r>
              <w:rPr>
                <w:rtl w:val="0"/>
              </w:rPr>
            </w:r>
          </w:p>
        </w:tc>
        <w:tc>
          <w:tcPr>
            <w:shd w:fill="1E3A5F" w:val="clear"/>
            <w:tcMar>
              <w:top w:w="0.0" w:type="dxa"/>
              <w:bottom w:w="0.0" w:type="dxa"/>
            </w:tcMar>
            <w:vAlign w:val="center"/>
          </w:tcPr>
          <w:p w:rsidR="00000000" w:rsidDel="00000000" w:rsidP="00000000" w:rsidRDefault="00000000" w:rsidRPr="00000000" w14:paraId="0000008F">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Precio unit.</w:t>
            </w:r>
            <w:r>
              <w:rPr>
                <w:rtl w:val="0"/>
              </w:rPr>
            </w:r>
          </w:p>
        </w:tc>
        <w:tc>
          <w:tcPr>
            <w:shd w:fill="1E3A5F" w:val="clear"/>
            <w:tcMar>
              <w:top w:w="0.0" w:type="dxa"/>
              <w:bottom w:w="0.0" w:type="dxa"/>
            </w:tcMar>
            <w:vAlign w:val="center"/>
          </w:tcPr>
          <w:p w:rsidR="00000000" w:rsidDel="00000000" w:rsidP="00000000" w:rsidRDefault="00000000" w:rsidRPr="00000000" w14:paraId="00000090">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Cant.</w:t>
            </w:r>
            <w:r>
              <w:rPr>
                <w:rtl w:val="0"/>
              </w:rPr>
            </w:r>
          </w:p>
        </w:tc>
        <w:tc>
          <w:tcPr>
            <w:shd w:fill="1E3A5F" w:val="clear"/>
            <w:tcMar>
              <w:top w:w="0.0" w:type="dxa"/>
              <w:bottom w:w="0.0" w:type="dxa"/>
            </w:tcMar>
            <w:vAlign w:val="center"/>
          </w:tcPr>
          <w:p w:rsidR="00000000" w:rsidDel="00000000" w:rsidP="00000000" w:rsidRDefault="00000000" w:rsidRPr="00000000" w14:paraId="00000091">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Unidad</w:t>
            </w:r>
            <w:r>
              <w:rPr>
                <w:rtl w:val="0"/>
              </w:rPr>
            </w:r>
          </w:p>
        </w:tc>
        <w:tc>
          <w:tcPr>
            <w:shd w:fill="1E3A5F" w:val="clear"/>
            <w:tcMar>
              <w:top w:w="0.0" w:type="dxa"/>
              <w:bottom w:w="0.0" w:type="dxa"/>
            </w:tcMar>
            <w:vAlign w:val="center"/>
          </w:tcPr>
          <w:p w:rsidR="00000000" w:rsidDel="00000000" w:rsidP="00000000" w:rsidRDefault="00000000" w:rsidRPr="00000000" w14:paraId="00000092">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Continge.</w:t>
            </w:r>
            <w:r>
              <w:rPr>
                <w:rtl w:val="0"/>
              </w:rPr>
            </w:r>
          </w:p>
        </w:tc>
        <w:tc>
          <w:tcPr>
            <w:shd w:fill="1E3A5F" w:val="clear"/>
            <w:tcMar>
              <w:top w:w="0.0" w:type="dxa"/>
              <w:bottom w:w="0.0" w:type="dxa"/>
            </w:tcMar>
            <w:vAlign w:val="center"/>
          </w:tcPr>
          <w:p w:rsidR="00000000" w:rsidDel="00000000" w:rsidP="00000000" w:rsidRDefault="00000000" w:rsidRPr="00000000" w14:paraId="00000093">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Subtotal (ARS)</w:t>
            </w:r>
            <w:r>
              <w:rPr>
                <w:rtl w:val="0"/>
              </w:rPr>
            </w:r>
          </w:p>
        </w:tc>
      </w:tr>
      <w:tr>
        <w:trPr>
          <w:cantSplit/>
          <w:trHeight w:val="234" w:hRule="atLeast"/>
          <w:tblHeader w:val="0"/>
        </w:trPr>
        <w:tc>
          <w:tcPr>
            <w:tcMar>
              <w:top w:w="0.0" w:type="dxa"/>
              <w:bottom w:w="0.0" w:type="dxa"/>
            </w:tcMar>
            <w:vAlign w:val="center"/>
          </w:tcPr>
          <w:p w:rsidR="00000000" w:rsidDel="00000000" w:rsidP="00000000" w:rsidRDefault="00000000" w:rsidRPr="00000000" w14:paraId="00000094">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Insumos materiales</w:t>
            </w:r>
            <w:r>
              <w:rPr>
                <w:rtl w:val="0"/>
              </w:rPr>
            </w:r>
          </w:p>
        </w:tc>
        <w:tc>
          <w:tcPr>
            <w:tcMar>
              <w:top w:w="0.0" w:type="dxa"/>
              <w:bottom w:w="0.0" w:type="dxa"/>
            </w:tcMar>
            <w:vAlign w:val="center"/>
          </w:tcPr>
          <w:p w:rsidR="00000000" w:rsidDel="00000000" w:rsidP="00000000" w:rsidRDefault="00000000" w:rsidRPr="00000000" w14:paraId="00000095">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$15.000</w:t>
            </w:r>
            <w:r>
              <w:rPr>
                <w:rtl w:val="0"/>
              </w:rPr>
            </w:r>
          </w:p>
        </w:tc>
        <w:tc>
          <w:tcPr>
            <w:tcMar>
              <w:top w:w="0.0" w:type="dxa"/>
              <w:bottom w:w="0.0" w:type="dxa"/>
            </w:tcMar>
            <w:vAlign w:val="center"/>
          </w:tcPr>
          <w:p w:rsidR="00000000" w:rsidDel="00000000" w:rsidP="00000000" w:rsidRDefault="00000000" w:rsidRPr="00000000" w14:paraId="00000096">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w:t>
            </w:r>
            <w:r>
              <w:rPr>
                <w:rtl w:val="0"/>
              </w:rPr>
            </w:r>
          </w:p>
        </w:tc>
        <w:tc>
          <w:tcPr>
            <w:tcMar>
              <w:top w:w="0.0" w:type="dxa"/>
              <w:bottom w:w="0.0" w:type="dxa"/>
            </w:tcMar>
            <w:vAlign w:val="center"/>
          </w:tcPr>
          <w:p w:rsidR="00000000" w:rsidDel="00000000" w:rsidP="00000000" w:rsidRDefault="00000000" w:rsidRPr="00000000" w14:paraId="00000097">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unidad</w:t>
            </w:r>
            <w:r>
              <w:rPr>
                <w:rtl w:val="0"/>
              </w:rPr>
            </w:r>
          </w:p>
        </w:tc>
        <w:tc>
          <w:tcPr>
            <w:tcMar>
              <w:top w:w="0.0" w:type="dxa"/>
              <w:bottom w:w="0.0" w:type="dxa"/>
            </w:tcMar>
            <w:vAlign w:val="center"/>
          </w:tcPr>
          <w:p w:rsidR="00000000" w:rsidDel="00000000" w:rsidP="00000000" w:rsidRDefault="00000000" w:rsidRPr="00000000" w14:paraId="00000098">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w:t>
            </w:r>
            <w:r>
              <w:rPr>
                <w:rtl w:val="0"/>
              </w:rPr>
            </w:r>
          </w:p>
        </w:tc>
        <w:tc>
          <w:tcPr>
            <w:tcMar>
              <w:top w:w="0.0" w:type="dxa"/>
              <w:bottom w:w="0.0" w:type="dxa"/>
            </w:tcMar>
            <w:vAlign w:val="center"/>
          </w:tcPr>
          <w:p w:rsidR="00000000" w:rsidDel="00000000" w:rsidP="00000000" w:rsidRDefault="00000000" w:rsidRPr="00000000" w14:paraId="0000009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$16.050</w:t>
            </w:r>
            <w:r>
              <w:rPr>
                <w:rtl w:val="0"/>
              </w:rPr>
            </w:r>
          </w:p>
        </w:tc>
      </w:tr>
      <w:tr>
        <w:trPr>
          <w:cantSplit/>
          <w:trHeight w:val="234" w:hRule="atLeast"/>
          <w:tblHeader w:val="0"/>
        </w:trPr>
        <w:tc>
          <w:tcPr>
            <w:tcMar>
              <w:top w:w="0.0" w:type="dxa"/>
              <w:bottom w:w="0.0" w:type="dxa"/>
            </w:tcMar>
            <w:vAlign w:val="center"/>
          </w:tcPr>
          <w:p w:rsidR="00000000" w:rsidDel="00000000" w:rsidP="00000000" w:rsidRDefault="00000000" w:rsidRPr="00000000" w14:paraId="0000009A">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Suscripción Claude Pro</w:t>
            </w:r>
            <w:r>
              <w:rPr>
                <w:rtl w:val="0"/>
              </w:rPr>
            </w:r>
          </w:p>
        </w:tc>
        <w:tc>
          <w:tcPr>
            <w:tcMar>
              <w:top w:w="0.0" w:type="dxa"/>
              <w:bottom w:w="0.0" w:type="dxa"/>
            </w:tcMar>
            <w:vAlign w:val="center"/>
          </w:tcPr>
          <w:p w:rsidR="00000000" w:rsidDel="00000000" w:rsidP="00000000" w:rsidRDefault="00000000" w:rsidRPr="00000000" w14:paraId="0000009B">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$30.500 (USD 20)</w:t>
            </w:r>
            <w:r>
              <w:rPr>
                <w:rtl w:val="0"/>
              </w:rPr>
            </w:r>
          </w:p>
        </w:tc>
        <w:tc>
          <w:tcPr>
            <w:tcMar>
              <w:top w:w="0.0" w:type="dxa"/>
              <w:bottom w:w="0.0" w:type="dxa"/>
            </w:tcMar>
            <w:vAlign w:val="center"/>
          </w:tcPr>
          <w:p w:rsidR="00000000" w:rsidDel="00000000" w:rsidP="00000000" w:rsidRDefault="00000000" w:rsidRPr="00000000" w14:paraId="0000009C">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w:t>
            </w:r>
            <w:r>
              <w:rPr>
                <w:rtl w:val="0"/>
              </w:rPr>
            </w:r>
          </w:p>
        </w:tc>
        <w:tc>
          <w:tcPr>
            <w:tcMar>
              <w:top w:w="0.0" w:type="dxa"/>
              <w:bottom w:w="0.0" w:type="dxa"/>
            </w:tcMar>
            <w:vAlign w:val="center"/>
          </w:tcPr>
          <w:p w:rsidR="00000000" w:rsidDel="00000000" w:rsidP="00000000" w:rsidRDefault="00000000" w:rsidRPr="00000000" w14:paraId="0000009D">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meses</w:t>
            </w:r>
            <w:r>
              <w:rPr>
                <w:rtl w:val="0"/>
              </w:rPr>
            </w:r>
          </w:p>
        </w:tc>
        <w:tc>
          <w:tcPr>
            <w:tcMar>
              <w:top w:w="0.0" w:type="dxa"/>
              <w:bottom w:w="0.0" w:type="dxa"/>
            </w:tcMar>
            <w:vAlign w:val="center"/>
          </w:tcPr>
          <w:p w:rsidR="00000000" w:rsidDel="00000000" w:rsidP="00000000" w:rsidRDefault="00000000" w:rsidRPr="00000000" w14:paraId="0000009E">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0%</w:t>
            </w:r>
            <w:r>
              <w:rPr>
                <w:rtl w:val="0"/>
              </w:rPr>
            </w:r>
          </w:p>
        </w:tc>
        <w:tc>
          <w:tcPr>
            <w:tcMar>
              <w:top w:w="0.0" w:type="dxa"/>
              <w:bottom w:w="0.0" w:type="dxa"/>
            </w:tcMar>
            <w:vAlign w:val="center"/>
          </w:tcPr>
          <w:p w:rsidR="00000000" w:rsidDel="00000000" w:rsidP="00000000" w:rsidRDefault="00000000" w:rsidRPr="00000000" w14:paraId="0000009F">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$61.000</w:t>
            </w:r>
            <w:r>
              <w:rPr>
                <w:rtl w:val="0"/>
              </w:rPr>
            </w:r>
          </w:p>
        </w:tc>
      </w:tr>
      <w:tr>
        <w:trPr>
          <w:cantSplit/>
          <w:trHeight w:val="298" w:hRule="atLeast"/>
          <w:tblHeader w:val="0"/>
        </w:trPr>
        <w:tc>
          <w:tcPr>
            <w:gridSpan w:val="5"/>
            <w:shd w:fill="DCE7F0" w:val="clear"/>
            <w:tcMar>
              <w:top w:w="0.0" w:type="dxa"/>
              <w:bottom w:w="0.0" w:type="dxa"/>
            </w:tcMar>
          </w:tcPr>
          <w:p w:rsidR="00000000" w:rsidDel="00000000" w:rsidP="00000000" w:rsidRDefault="00000000" w:rsidRPr="00000000" w14:paraId="000000AC">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sz w:val="24"/>
                <w:szCs w:val="24"/>
                <w:rtl w:val="0"/>
              </w:rPr>
              <w:t xml:space="preserve">SUBTOTAL COSTOS VARIOS</w:t>
            </w:r>
            <w:r>
              <w:rPr>
                <w:rtl w:val="0"/>
              </w:rPr>
            </w:r>
          </w:p>
        </w:tc>
        <w:tc>
          <w:tcPr>
            <w:shd w:fill="DCE7F0" w:val="clear"/>
            <w:tcMar>
              <w:top w:w="0.0" w:type="dxa"/>
              <w:bottom w:w="0.0" w:type="dxa"/>
            </w:tcMar>
            <w:vAlign w:val="center"/>
          </w:tcPr>
          <w:p w:rsidR="00000000" w:rsidDel="00000000" w:rsidP="00000000" w:rsidRDefault="00000000" w:rsidRPr="00000000" w14:paraId="000000B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$77.050</w:t>
            </w:r>
            <w:r>
              <w:rPr>
                <w:rtl w:val="0"/>
              </w:rPr>
            </w:r>
          </w:p>
        </w:tc>
      </w:tr>
    </w:tbl>
    <w:p w:rsidR="00000000" w:rsidDel="00000000" w:rsidP="00000000" w:rsidRDefault="00000000" w:rsidRPr="00000000" w14:paraId="000000B2">
      <w:pPr>
        <w:pStyle w:val="Heading2"/>
        <w:spacing w:after="150" w:before="300" w:lineRule="auto"/>
        <w:rPr>
          <w:rFonts w:ascii="Questrial" w:cs="Questrial" w:eastAsia="Questrial" w:hAnsi="Questrial"/>
          <w:sz w:val="30"/>
          <w:szCs w:val="30"/>
        </w:rPr>
      </w:pPr>
      <w:r>
        <w:rPr>
          <w:rtl w:val="0"/>
        </w:rPr>
      </w:r>
    </w:p>
    <w:p w:rsidR="00000000" w:rsidDel="00000000" w:rsidP="00000000" w:rsidRDefault="00000000" w:rsidRPr="00000000" w14:paraId="000000B3">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3.4 Resumen de costos</w:t>
      </w:r>
    </w:p>
    <w:tbl>
      <w:tblPr>
        <w:tblStyle w:val="Table4"/>
        <w:tblW w:w="14961.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603"/>
        <w:gridCol w:w="3359"/>
        <w:tblGridChange w:id="0">
          <w:tblGrid>
            <w:gridCol w:w="11603"/>
            <w:gridCol w:w="3359"/>
          </w:tblGrid>
        </w:tblGridChange>
      </w:tblGrid>
      <w:tr>
        <w:trPr>
          <w:cantSplit/>
          <w:trHeight w:val="243" w:hRule="atLeast"/>
          <w:tblHeader w:val="0"/>
        </w:trPr>
        <w:tc>
          <w:tcPr>
            <w:tcMar>
              <w:top w:w="0.0" w:type="dxa"/>
              <w:bottom w:w="0.0" w:type="dxa"/>
            </w:tcMar>
            <w:vAlign w:val="center"/>
          </w:tcPr>
          <w:p w:rsidR="00000000" w:rsidDel="00000000" w:rsidP="00000000" w:rsidRDefault="00000000" w:rsidRPr="00000000" w14:paraId="000000B4">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Costos de personal </w:t>
            </w:r>
            <w:r>
              <w:rPr>
                <w:rtl w:val="0"/>
              </w:rPr>
            </w:r>
          </w:p>
        </w:tc>
        <w:tc>
          <w:tcPr>
            <w:tcMar>
              <w:top w:w="0.0" w:type="dxa"/>
              <w:bottom w:w="0.0" w:type="dxa"/>
            </w:tcMar>
            <w:vAlign w:val="center"/>
          </w:tcPr>
          <w:p w:rsidR="00000000" w:rsidDel="00000000" w:rsidP="00000000" w:rsidRDefault="00000000" w:rsidRPr="00000000" w14:paraId="000000B5">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$31.793.299</w:t>
            </w:r>
            <w:r>
              <w:rPr>
                <w:rtl w:val="0"/>
              </w:rPr>
            </w:r>
          </w:p>
        </w:tc>
      </w:tr>
      <w:tr>
        <w:trPr>
          <w:cantSplit/>
          <w:trHeight w:val="243" w:hRule="atLeast"/>
          <w:tblHeader w:val="0"/>
        </w:trPr>
        <w:tc>
          <w:tcPr>
            <w:tcMar>
              <w:top w:w="0.0" w:type="dxa"/>
              <w:bottom w:w="0.0" w:type="dxa"/>
            </w:tcMar>
            <w:vAlign w:val="center"/>
          </w:tcPr>
          <w:p w:rsidR="00000000" w:rsidDel="00000000" w:rsidP="00000000" w:rsidRDefault="00000000" w:rsidRPr="00000000" w14:paraId="000000B6">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Componentes electrónicos </w:t>
            </w:r>
            <w:r>
              <w:rPr>
                <w:rtl w:val="0"/>
              </w:rPr>
            </w:r>
          </w:p>
        </w:tc>
        <w:tc>
          <w:tcPr>
            <w:tcMar>
              <w:top w:w="0.0" w:type="dxa"/>
              <w:bottom w:w="0.0" w:type="dxa"/>
            </w:tcMar>
            <w:vAlign w:val="center"/>
          </w:tcPr>
          <w:p w:rsidR="00000000" w:rsidDel="00000000" w:rsidP="00000000" w:rsidRDefault="00000000" w:rsidRPr="00000000" w14:paraId="000000B7">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$150.839</w:t>
            </w:r>
            <w:r>
              <w:rPr>
                <w:rtl w:val="0"/>
              </w:rPr>
            </w:r>
          </w:p>
        </w:tc>
      </w:tr>
      <w:tr>
        <w:trPr>
          <w:cantSplit/>
          <w:trHeight w:val="243" w:hRule="atLeast"/>
          <w:tblHeader w:val="0"/>
        </w:trPr>
        <w:tc>
          <w:tcPr>
            <w:tcMar>
              <w:top w:w="0.0" w:type="dxa"/>
              <w:bottom w:w="0.0" w:type="dxa"/>
            </w:tcMar>
            <w:vAlign w:val="center"/>
          </w:tcPr>
          <w:p w:rsidR="00000000" w:rsidDel="00000000" w:rsidP="00000000" w:rsidRDefault="00000000" w:rsidRPr="00000000" w14:paraId="000000B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Costos varios / operativos</w:t>
            </w:r>
            <w:r>
              <w:rPr>
                <w:rtl w:val="0"/>
              </w:rPr>
            </w:r>
          </w:p>
        </w:tc>
        <w:tc>
          <w:tcPr>
            <w:tcMar>
              <w:top w:w="0.0" w:type="dxa"/>
              <w:bottom w:w="0.0" w:type="dxa"/>
            </w:tcMar>
            <w:vAlign w:val="center"/>
          </w:tcPr>
          <w:p w:rsidR="00000000" w:rsidDel="00000000" w:rsidP="00000000" w:rsidRDefault="00000000" w:rsidRPr="00000000" w14:paraId="000000B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$77.050</w:t>
            </w:r>
            <w:r>
              <w:rPr>
                <w:rtl w:val="0"/>
              </w:rPr>
            </w:r>
          </w:p>
        </w:tc>
      </w:tr>
      <w:tr>
        <w:trPr>
          <w:cantSplit/>
          <w:trHeight w:val="266" w:hRule="atLeast"/>
          <w:tblHeader w:val="0"/>
        </w:trPr>
        <w:tc>
          <w:tcPr>
            <w:shd w:fill="DCE7F0" w:val="clear"/>
            <w:tcMar>
              <w:top w:w="0.0" w:type="dxa"/>
              <w:bottom w:w="0.0" w:type="dxa"/>
            </w:tcMar>
            <w:vAlign w:val="center"/>
          </w:tcPr>
          <w:p w:rsidR="00000000" w:rsidDel="00000000" w:rsidP="00000000" w:rsidRDefault="00000000" w:rsidRPr="00000000" w14:paraId="000000BA">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INVERSIÓN DEL PROYECTO (A RECUPERAR)</w:t>
            </w:r>
            <w:r>
              <w:rPr>
                <w:rtl w:val="0"/>
              </w:rPr>
            </w:r>
          </w:p>
        </w:tc>
        <w:tc>
          <w:tcPr>
            <w:shd w:fill="DCE7F0" w:val="clear"/>
            <w:tcMar>
              <w:top w:w="0.0" w:type="dxa"/>
              <w:bottom w:w="0.0" w:type="dxa"/>
            </w:tcMar>
            <w:vAlign w:val="center"/>
          </w:tcPr>
          <w:p w:rsidR="00000000" w:rsidDel="00000000" w:rsidP="00000000" w:rsidRDefault="00000000" w:rsidRPr="00000000" w14:paraId="000000BB">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$32.021.188</w:t>
            </w:r>
            <w:r>
              <w:rPr>
                <w:rtl w:val="0"/>
              </w:rPr>
            </w:r>
          </w:p>
        </w:tc>
      </w:tr>
      <w:tr>
        <w:trPr>
          <w:cantSplit/>
          <w:trHeight w:val="243" w:hRule="atLeast"/>
          <w:tblHeader w:val="0"/>
        </w:trPr>
        <w:tc>
          <w:tcPr>
            <w:tcMar>
              <w:top w:w="0.0" w:type="dxa"/>
              <w:bottom w:w="0.0" w:type="dxa"/>
            </w:tcMar>
            <w:vAlign w:val="center"/>
          </w:tcPr>
          <w:p w:rsidR="00000000" w:rsidDel="00000000" w:rsidP="00000000" w:rsidRDefault="00000000" w:rsidRPr="00000000" w14:paraId="000000BC">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Costo de cada telar nuevo (componentes, insumos y 28 h de instalación)</w:t>
            </w:r>
            <w:r>
              <w:rPr>
                <w:rtl w:val="0"/>
              </w:rPr>
            </w:r>
          </w:p>
        </w:tc>
        <w:tc>
          <w:tcPr>
            <w:tcMar>
              <w:top w:w="0.0" w:type="dxa"/>
              <w:bottom w:w="0.0" w:type="dxa"/>
            </w:tcMar>
            <w:vAlign w:val="center"/>
          </w:tcPr>
          <w:p w:rsidR="00000000" w:rsidDel="00000000" w:rsidP="00000000" w:rsidRDefault="00000000" w:rsidRPr="00000000" w14:paraId="000000BD">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$1.511.939</w:t>
            </w:r>
            <w:r>
              <w:rPr>
                <w:rtl w:val="0"/>
              </w:rPr>
            </w:r>
          </w:p>
        </w:tc>
      </w:tr>
      <w:tr>
        <w:trPr>
          <w:cantSplit/>
          <w:trHeight w:val="243" w:hRule="atLeast"/>
          <w:tblHeader w:val="0"/>
        </w:trPr>
        <w:tc>
          <w:tcPr>
            <w:shd w:fill="16304F" w:val="clear"/>
            <w:tcMar>
              <w:top w:w="0.0" w:type="dxa"/>
              <w:bottom w:w="0.0" w:type="dxa"/>
            </w:tcMar>
            <w:vAlign w:val="center"/>
          </w:tcPr>
          <w:p w:rsidR="00000000" w:rsidDel="00000000" w:rsidP="00000000" w:rsidRDefault="00000000" w:rsidRPr="00000000" w14:paraId="000000BE">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color w:val="ffffff"/>
                <w:sz w:val="24"/>
                <w:szCs w:val="24"/>
                <w:rtl w:val="0"/>
              </w:rPr>
              <w:t xml:space="preserve">PRECIO FINAL POR TELAR (recupera la inversión en dos años, sección 4.1)</w:t>
            </w:r>
            <w:r>
              <w:rPr>
                <w:rtl w:val="0"/>
              </w:rPr>
            </w:r>
          </w:p>
        </w:tc>
        <w:tc>
          <w:tcPr>
            <w:shd w:fill="16304F" w:val="clear"/>
            <w:tcMar>
              <w:top w:w="0.0" w:type="dxa"/>
              <w:bottom w:w="0.0" w:type="dxa"/>
            </w:tcMar>
            <w:vAlign w:val="center"/>
          </w:tcPr>
          <w:p w:rsidR="00000000" w:rsidDel="00000000" w:rsidP="00000000" w:rsidRDefault="00000000" w:rsidRPr="00000000" w14:paraId="000000BF">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ffffff"/>
                <w:sz w:val="24"/>
                <w:szCs w:val="24"/>
                <w:rtl w:val="0"/>
              </w:rPr>
              <w:t xml:space="preserve">$3.200.000</w:t>
            </w:r>
            <w:r>
              <w:rPr>
                <w:rtl w:val="0"/>
              </w:rPr>
            </w:r>
          </w:p>
        </w:tc>
      </w:tr>
    </w:tbl>
    <w:p w:rsidR="00000000" w:rsidDel="00000000" w:rsidP="00000000" w:rsidRDefault="00000000" w:rsidRPr="00000000" w14:paraId="000000C0">
      <w:pPr>
        <w:rPr>
          <w:rFonts w:ascii="IBM Plex Sans" w:cs="IBM Plex Sans" w:eastAsia="IBM Plex Sans" w:hAnsi="IBM Plex Sans"/>
          <w:sz w:val="22"/>
          <w:szCs w:val="22"/>
        </w:rPr>
      </w:pPr>
      <w:r>
        <w:rPr>
          <w:rtl w:val="0"/>
        </w:rPr>
      </w:r>
    </w:p>
    <w:p w:rsidR="00000000" w:rsidDel="00000000" w:rsidP="00000000" w:rsidRDefault="00000000" w:rsidRPr="00000000" w14:paraId="000000C1">
      <w:pPr>
        <w:rPr>
          <w:rFonts w:ascii="IBM Plex Sans" w:cs="IBM Plex Sans" w:eastAsia="IBM Plex Sans" w:hAnsi="IBM Plex Sans"/>
          <w:sz w:val="22"/>
          <w:szCs w:val="22"/>
        </w:rPr>
      </w:pPr>
      <w:r>
        <w:rPr>
          <w:rtl w:val="0"/>
        </w:rPr>
      </w:r>
    </w:p>
    <w:p w:rsidR="00000000" w:rsidDel="00000000" w:rsidP="00000000" w:rsidRDefault="00000000" w:rsidRPr="00000000" w14:paraId="000000C2">
      <w:pPr>
        <w:pStyle w:val="Heading1"/>
        <w:keepNext/>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3.5 Por qué el costo de personal domina el presupuesto</w:t>
      </w:r>
    </w:p>
    <w:p w:rsidR="00000000" w:rsidDel="00000000" w:rsidP="00000000" w:rsidRDefault="00000000" w:rsidRPr="00000000" w14:paraId="000000C3">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De los $32.021.188 de costo total, el 99,3% ($31.793.299) es costo de personal y apenas el 0,7% restante ($227.889, materiales y gastos operativos) es dinero que el equipo realmente va a desembolsar (componentes + gastos varios). Esto no es un error de cálculo: la tarifa de personal es un valor de referencia de mercado para un profesional junior, aplicado a las 642 horas planificadas de un proyecto de varios meses mide el VALOR del trabajo invertido por el equipo, no un pago en efectivo real entre compañeros. Es el mismo criterio que usa cualquier estudio de factibilidad económica: cuantificar el costo de oportunidad de las horas de trabajo, aunque en este proyecto nadie cobre ese monto. El desembolso de dinero real y concreto del proyecto es, en cambio, muy acotado: $150.839 en componentes electrónicos y $77.050 en gastos varios.</w:t>
      </w:r>
    </w:p>
    <w:p w:rsidR="00000000" w:rsidDel="00000000" w:rsidP="00000000" w:rsidRDefault="00000000" w:rsidRPr="00000000" w14:paraId="000000C4">
      <w:pPr>
        <w:pStyle w:val="Heading1"/>
        <w:rPr>
          <w:rFonts w:ascii="Questrial" w:cs="Questrial" w:eastAsia="Questrial" w:hAnsi="Questrial"/>
          <w:sz w:val="30"/>
          <w:szCs w:val="30"/>
        </w:rPr>
      </w:pPr>
      <w:r>
        <w:rPr>
          <w:rtl w:val="0"/>
        </w:rPr>
      </w:r>
    </w:p>
    <w:p w:rsidR="00000000" w:rsidDel="00000000" w:rsidP="00000000" w:rsidRDefault="00000000" w:rsidRPr="00000000" w14:paraId="000000C5">
      <w:pPr>
        <w:pStyle w:val="Heading1"/>
        <w:keepNext/>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3.6 Riesgo de tipo de cambio</w:t>
      </w:r>
    </w:p>
    <w:p w:rsidR="00000000" w:rsidDel="00000000" w:rsidP="00000000" w:rsidRDefault="00000000" w:rsidRPr="00000000" w14:paraId="000000C6">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Como el costo de personal (99,3% del costo) está calculado en USD y convertido a pesos con un tipo de cambio de referencia ($1.525 = 1 USD), toda la estimación es sensible a la cotización del dólar, que en Argentina puede variar de forma significativa en pocos meses. Una suba del 20% en el tipo de cambio elevaría el costo de personal a unos $38.150.000 (y la inversión a recuperar a cerca de $38.400.000, que con el mismo precio por telar pediría más telares), sin que haya cambiado ni una hora de trabajo real. El costo en componentes electrónicos y gastos varios, al estar presupuestado directamente en pesos, no tiene esta sensibilidad. Conviene tratar la inversión y el precio por telar como una referencia a la fecha de este documento, y no como un número fijo si pasa mucho tiempo entre esta estimación y la compra/cierre real. Se recomienda registrar explícitamente en este documento la fecha en la que se tomó el tipo de cambio de referencia ($1.525 = 1 USD), para que quede como dato de contexto claro si el documento se consulta más adelante.</w:t>
      </w:r>
    </w:p>
    <w:p w:rsidR="00000000" w:rsidDel="00000000" w:rsidP="00000000" w:rsidRDefault="00000000" w:rsidRPr="00000000" w14:paraId="000000C7">
      <w:pPr>
        <w:rPr>
          <w:rFonts w:ascii="IBM Plex Sans" w:cs="IBM Plex Sans" w:eastAsia="IBM Plex Sans" w:hAnsi="IBM Plex Sans"/>
          <w:sz w:val="22"/>
          <w:szCs w:val="22"/>
        </w:rPr>
      </w:pPr>
      <w:r>
        <w:rPr>
          <w:rtl w:val="0"/>
        </w:rPr>
      </w:r>
    </w:p>
    <w:p w:rsidR="00000000" w:rsidDel="00000000" w:rsidP="00000000" w:rsidRDefault="00000000" w:rsidRPr="00000000" w14:paraId="000000C8">
      <w:pPr>
        <w:rPr>
          <w:rFonts w:ascii="IBM Plex Sans" w:cs="IBM Plex Sans" w:eastAsia="IBM Plex Sans" w:hAnsi="IBM Plex Sans"/>
          <w:sz w:val="22"/>
          <w:szCs w:val="22"/>
        </w:rPr>
      </w:pPr>
      <w:r>
        <w:rPr>
          <w:rtl w:val="0"/>
        </w:rPr>
      </w:r>
    </w:p>
    <w:p w:rsidR="00000000" w:rsidDel="00000000" w:rsidP="00000000" w:rsidRDefault="00000000" w:rsidRPr="00000000" w14:paraId="000000C9">
      <w:pPr>
        <w:pStyle w:val="Heading1"/>
        <w:keepNext/>
        <w:spacing w:after="200" w:before="4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3.7 Puntos a verificar antes de cerrar el presupuesto</w:t>
      </w:r>
    </w:p>
    <w:p w:rsidR="00000000" w:rsidDel="00000000" w:rsidP="00000000" w:rsidRDefault="00000000" w:rsidRPr="00000000" w14:paraId="000000CA">
      <w:pPr>
        <w:keepNext/>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Además de los subtotales ya calculados, quedan estos puntos a confirmar contra la lista detallada de componentes (Control de Trama) antes de considerar el presupuesto cerrado:</w:t>
      </w:r>
    </w:p>
    <w:p w:rsidR="00000000" w:rsidDel="00000000" w:rsidP="00000000" w:rsidRDefault="00000000" w:rsidRPr="00000000" w14:paraId="000000C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both"/>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Cable de control:</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conecta los 3 relés a los botones físicos del telar. Definido: cable multifilar común de 6 conductores y 1 mm², 3 m (Marcha/Pausa/Retroceder). Se descartó el cable mallado tras consultar con un profesional: la señal de contacto seco a 24 V no lo requiere en esta instalación, lo que sirve tanto para los relés como para el sensado, ya que ambos se conectan al mismo par de terminales de cada botón. Figura como ítems en la lista de componentes, dentro del Bloque A.</w:t>
      </w:r>
      <w:r>
        <w:rPr>
          <w:rtl w:val="0"/>
        </w:rPr>
      </w:r>
    </w:p>
    <w:p w:rsidR="00000000" w:rsidDel="00000000" w:rsidP="00000000" w:rsidRDefault="00000000" w:rsidRPr="00000000" w14:paraId="000000C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Insumos de armado: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estaño/soldadura</w:t>
      </w:r>
      <w:r>
        <w:rPr>
          <w:rFonts w:ascii="IBM Plex Sans" w:cs="IBM Plex Sans" w:eastAsia="IBM Plex Sans" w:hAnsi="IBM Plex Sans"/>
          <w:sz w:val="24"/>
          <w:szCs w:val="24"/>
          <w:rtl w:val="0"/>
        </w:rPr>
        <w:t xml:space="preserv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y precintos/cinta aisladora. Si no están explícitamente incluidos en “Insumos materiales” ($15.000, sección 3.3), conviene dejarlo aclarado para no asumir una cobertura que no existe.</w:t>
      </w:r>
      <w:r>
        <w:rPr>
          <w:rtl w:val="0"/>
        </w:rPr>
      </w:r>
    </w:p>
    <w:p w:rsidR="00000000" w:rsidDel="00000000" w:rsidP="00000000" w:rsidRDefault="00000000" w:rsidRPr="00000000" w14:paraId="000000C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sdt>
        <w:sdtPr>
          <w:tag w:val="goog_rdk_1"/>
          <w:id w:val="-707200803"/>
        </w:sdtPr>
        <w:sdtContent>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Gabinete o caja de protección:</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caja Roker IP65 230x300x106mm, ya comprada, para el ESP32, el módulo de relés y la fuente 220V→5V. Su precio, el de los 4 prensacables PG11 y el de las borneras ya están cargados como costo en el Bloque A de la lista de componentes.</w:t>
          </w:r>
        </w:sdtContent>
      </w:sdt>
      <w:r>
        <w:rPr>
          <w:rtl w:val="0"/>
        </w:rPr>
      </w:r>
    </w:p>
    <w:p w:rsidR="00000000" w:rsidDel="00000000" w:rsidP="00000000" w:rsidRDefault="00000000" w:rsidRPr="00000000" w14:paraId="000000C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Impuestos en las cotizaciones: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confirmar que el subtotal de componentes electrónicos ($150.839) esté tomado sobre el precio final pagado (con impuestos nacionales incluidos) y no sobre el precio neto, sobre todo en los ítems comprados por Mercado Libre.</w:t>
      </w:r>
      <w:r>
        <w:rPr>
          <w:rtl w:val="0"/>
        </w:rPr>
      </w:r>
    </w:p>
    <w:p w:rsidR="00000000" w:rsidDel="00000000" w:rsidP="00000000" w:rsidRDefault="00000000" w:rsidRPr="0000000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Precios estimados: los ítems sumados entre el 10 y el 25/10/2026 (placas, tiras de pines, zócalos DIP-6, resistencias del lado del telar, borneras de 4 vías y la plaqueta del ESP32) llevan un precio estimado de octubre de 2026, marcado así en la lista de componentes. Confirmarlos con los comprobantes de compra.</w:t>
      </w:r>
      <w:r>
        <w:rPr>
          <w:rtl w:val="0"/>
        </w:rPr>
      </w:r>
    </w:p>
    <w:p w:rsidR="00000000" w:rsidDel="00000000" w:rsidP="00000000" w:rsidRDefault="00000000" w:rsidRPr="00000000" w14:paraId="000000CF">
      <w:pPr>
        <w:pStyle w:val="Heading1"/>
        <w:spacing w:after="200" w:before="400" w:lineRule="auto"/>
        <w:rPr>
          <w:rFonts w:ascii="Questrial" w:cs="Questrial" w:eastAsia="Questrial" w:hAnsi="Questrial"/>
          <w:color w:val="1E3A5F"/>
          <w:sz w:val="38"/>
          <w:szCs w:val="38"/>
        </w:rPr>
      </w:pPr>
      <w:r>
        <w:rPr>
          <w:rtl w:val="0"/>
        </w:rPr>
      </w:r>
    </w:p>
    <w:p w:rsidR="00000000" w:rsidDel="00000000" w:rsidP="00000000" w:rsidRDefault="00000000" w:rsidRPr="00000000" w14:paraId="000000D0">
      <w:pPr>
        <w:pStyle w:val="Heading1"/>
        <w:keepNext/>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4. Precio final, ganancia y modalidad de inversión</w:t>
      </w:r>
    </w:p>
    <w:p w:rsidR="00000000" w:rsidDel="00000000" w:rsidP="00000000" w:rsidRDefault="00000000" w:rsidRPr="00000000" w14:paraId="000000D1">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4.1 Precio final: recuperar la inversión en dos años</w:t>
      </w:r>
    </w:p>
    <w:p w:rsidR="00000000" w:rsidDel="00000000" w:rsidP="00000000" w:rsidRDefault="00000000" w:rsidRPr="00000000" w14:paraId="000000D2">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 inversión del proyecto, $32.021.188 (las 642 horas del equipo, los componentes del telar piloto, los insumos y Claude Pro), se recupera vendiendo el sistema por telar. El precio final se fijó con una vista a dos años: a qué precio y cuántos telares hay que vender para recuperar todo lo gastado.</w:t>
      </w:r>
    </w:p>
    <w:p w:rsidR="00000000" w:rsidDel="00000000" w:rsidP="00000000" w:rsidRDefault="00000000" w:rsidRPr="00000000" w14:paraId="000000D3">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En cada telar nuevo se vuelve a gastar en componentes ($150.839), insumos de armado ($16.050) y la mano de obra de la instalación: 28 h × $45.750 × 1,05 = $1.345.050 (las tareas 7.2, 7.3, 7.4 a 7.7 y 7.10 del Gantt y 2 h de capacitación; estas horas hay que confirmarlas). En total, $1.511.939 por telar. El software no se vuelve a pagar en cada cliente: ya está hecho. Telares para recuperar la inversión = inversión ÷ (precio − costo por telar):</w:t>
      </w:r>
    </w:p>
    <w:tbl>
      <w:tblPr>
        <w:tblStyle w:val="Table4"/>
        <w:tblW w:w="14961.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603"/>
        <w:gridCol w:w="3359"/>
        <w:tblGridChange w:id="0">
          <w:tblGrid>
            <w:gridCol w:w="11603"/>
            <w:gridCol w:w="3359"/>
          </w:tblGrid>
        </w:tblGridChange>
      </w:tblGrid>
      <w:tr>
        <w:trPr>
          <w:cantSplit/>
          <w:trHeight w:val="243" w:hRule="atLeast"/>
          <w:tblHeader w:val="0"/>
        </w:trPr>
        <w:tc>
          <w:tcPr>
            <w:tcMar>
              <w:top w:w="0.0" w:type="dxa"/>
              <w:bottom w:w="0.0" w:type="dxa"/>
            </w:tcMar>
            <w:vAlign w:val="center"/>
          </w:tcPr>
          <w:p w:rsidR="00000000" w:rsidDel="00000000" w:rsidP="00000000" w:rsidRDefault="00000000" w:rsidRPr="00000000" w14:paraId="000000B4">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$3.000.000 por telar: ganancia de $1.488.061 por telar</w:t>
            </w:r>
            <w:r>
              <w:rPr>
                <w:rtl w:val="0"/>
              </w:rPr>
            </w:r>
          </w:p>
        </w:tc>
        <w:tc>
          <w:tcPr>
            <w:tcMar>
              <w:top w:w="0.0" w:type="dxa"/>
              <w:bottom w:w="0.0" w:type="dxa"/>
            </w:tcMar>
            <w:vAlign w:val="center"/>
          </w:tcPr>
          <w:p w:rsidR="00000000" w:rsidDel="00000000" w:rsidP="00000000" w:rsidRDefault="00000000" w:rsidRPr="00000000" w14:paraId="000000B5">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22 telares</w:t>
            </w:r>
            <w:r>
              <w:rPr>
                <w:rtl w:val="0"/>
              </w:rPr>
            </w:r>
          </w:p>
        </w:tc>
      </w:tr>
      <w:tr>
        <w:trPr>
          <w:cantSplit/>
          <w:trHeight w:val="243" w:hRule="atLeast"/>
          <w:tblHeader w:val="0"/>
        </w:trPr>
        <w:tc>
          <w:tcPr>
            <w:tcMar>
              <w:top w:w="0.0" w:type="dxa"/>
              <w:bottom w:w="0.0" w:type="dxa"/>
            </w:tcMar>
            <w:vAlign w:val="center"/>
          </w:tcPr>
          <w:p w:rsidR="00000000" w:rsidDel="00000000" w:rsidP="00000000" w:rsidRDefault="00000000" w:rsidRPr="00000000" w14:paraId="000000B4">
            <w:pPr>
              <w:spacing w:after="120" w:before="120" w:line="276" w:lineRule="auto"/>
              <w:rPr>
                <w:rFonts w:ascii="IBM Plex Sans" w:cs="IBM Plex Sans" w:eastAsia="IBM Plex Sans" w:hAnsi="IBM Plex Sans"/>
                <w:sz w:val="24"/>
                <w:szCs w:val="24"/>
              </w:rPr>
            </w:pPr>
            <w:r>
              <w:rPr>
                <w:b/>
                <w:rFonts w:ascii="IBM Plex Sans" w:cs="IBM Plex Sans" w:eastAsia="IBM Plex Sans" w:hAnsi="IBM Plex Sans"/>
                <w:color w:val="000000"/>
                <w:sz w:val="24"/>
                <w:szCs w:val="24"/>
                <w:rtl w:val="0"/>
              </w:rPr>
              <w:t xml:space="preserve">$3.200.000 por telar (el elegido): ganancia de $1.688.061 por telar</w:t>
            </w:r>
            <w:r>
              <w:rPr>
                <w:b/>
                <w:rtl w:val="0"/>
              </w:rPr>
            </w:r>
          </w:p>
        </w:tc>
        <w:tc>
          <w:tcPr>
            <w:tcMar>
              <w:top w:w="0.0" w:type="dxa"/>
              <w:bottom w:w="0.0" w:type="dxa"/>
            </w:tcMar>
            <w:vAlign w:val="center"/>
          </w:tcPr>
          <w:p w:rsidR="00000000" w:rsidDel="00000000" w:rsidP="00000000" w:rsidRDefault="00000000" w:rsidRPr="00000000" w14:paraId="000000B5">
            <w:pPr>
              <w:spacing w:after="120" w:before="120" w:line="276" w:lineRule="auto"/>
              <w:jc w:val="center"/>
              <w:rPr>
                <w:rFonts w:ascii="IBM Plex Sans" w:cs="IBM Plex Sans" w:eastAsia="IBM Plex Sans" w:hAnsi="IBM Plex Sans"/>
                <w:sz w:val="24"/>
                <w:szCs w:val="24"/>
              </w:rPr>
            </w:pPr>
            <w:r>
              <w:rPr>
                <w:b/>
                <w:rFonts w:ascii="IBM Plex Sans" w:cs="IBM Plex Sans" w:eastAsia="IBM Plex Sans" w:hAnsi="IBM Plex Sans"/>
                <w:color w:val="000000"/>
                <w:sz w:val="24"/>
                <w:szCs w:val="24"/>
                <w:rtl w:val="0"/>
              </w:rPr>
              <w:t xml:space="preserve">19 telares</w:t>
            </w:r>
            <w:r>
              <w:rPr>
                <w:b/>
                <w:rtl w:val="0"/>
              </w:rPr>
            </w:r>
          </w:p>
        </w:tc>
      </w:tr>
      <w:tr>
        <w:trPr>
          <w:cantSplit/>
          <w:trHeight w:val="243" w:hRule="atLeast"/>
          <w:tblHeader w:val="0"/>
        </w:trPr>
        <w:tc>
          <w:tcPr>
            <w:tcMar>
              <w:top w:w="0.0" w:type="dxa"/>
              <w:bottom w:w="0.0" w:type="dxa"/>
            </w:tcMar>
            <w:vAlign w:val="center"/>
          </w:tcPr>
          <w:p w:rsidR="00000000" w:rsidDel="00000000" w:rsidP="00000000" w:rsidRDefault="00000000" w:rsidRPr="00000000" w14:paraId="000000B4">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$3.500.000 por telar: ganancia de $1.988.061 por telar</w:t>
            </w:r>
            <w:r>
              <w:rPr>
                <w:rtl w:val="0"/>
              </w:rPr>
            </w:r>
          </w:p>
        </w:tc>
        <w:tc>
          <w:tcPr>
            <w:tcMar>
              <w:top w:w="0.0" w:type="dxa"/>
              <w:bottom w:w="0.0" w:type="dxa"/>
            </w:tcMar>
            <w:vAlign w:val="center"/>
          </w:tcPr>
          <w:p w:rsidR="00000000" w:rsidDel="00000000" w:rsidP="00000000" w:rsidRDefault="00000000" w:rsidRPr="00000000" w14:paraId="000000B5">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17 telares</w:t>
            </w:r>
            <w:r>
              <w:rPr>
                <w:rtl w:val="0"/>
              </w:rPr>
            </w:r>
          </w:p>
        </w:tc>
      </w:tr>
      <w:tr>
        <w:trPr>
          <w:cantSplit/>
          <w:trHeight w:val="243" w:hRule="atLeast"/>
          <w:tblHeader w:val="0"/>
        </w:trPr>
        <w:tc>
          <w:tcPr>
            <w:tcMar>
              <w:top w:w="0.0" w:type="dxa"/>
              <w:bottom w:w="0.0" w:type="dxa"/>
            </w:tcMar>
            <w:vAlign w:val="center"/>
          </w:tcPr>
          <w:p w:rsidR="00000000" w:rsidDel="00000000" w:rsidP="00000000" w:rsidRDefault="00000000" w:rsidRPr="00000000" w14:paraId="000000B4">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$4.000.000 por telar: ganancia de $2.488.061 por telar</w:t>
            </w:r>
            <w:r>
              <w:rPr>
                <w:rtl w:val="0"/>
              </w:rPr>
            </w:r>
          </w:p>
        </w:tc>
        <w:tc>
          <w:tcPr>
            <w:tcMar>
              <w:top w:w="0.0" w:type="dxa"/>
              <w:bottom w:w="0.0" w:type="dxa"/>
            </w:tcMar>
            <w:vAlign w:val="center"/>
          </w:tcPr>
          <w:p w:rsidR="00000000" w:rsidDel="00000000" w:rsidP="00000000" w:rsidRDefault="00000000" w:rsidRPr="00000000" w14:paraId="000000B5">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13 telares</w:t>
            </w:r>
            <w:r>
              <w:rPr>
                <w:rtl w:val="0"/>
              </w:rPr>
            </w:r>
          </w:p>
        </w:tc>
      </w:tr>
    </w:tbl>
    <w:p w:rsidR="00000000" w:rsidDel="00000000" w:rsidP="00000000" w:rsidRDefault="00000000" w:rsidRPr="00000000" w14:paraId="000000D3">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Precio final: $3.200.000 por telar. Con 19 telares (en la práctica, dos fábricas de 10 telares) se recupera la inversión: a 5 telares por semestre, el saldo pasa de −$32,0 millones al inicio a −$23,6 M, −$15,1 M y −$6,7 M, y queda en +$1,7 M al terminar el cuarto semestre, a los dos años.</w:t>
      </w:r>
    </w:p>
    <w:p w:rsidR="00000000" w:rsidDel="00000000" w:rsidP="00000000" w:rsidRDefault="00000000" w:rsidRPr="00000000" w14:paraId="000000D3">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El abono de mantenimiento ($129.625 por mes por fábrica, sección 6.3) cubre sus 2 h de desarrollo ($103.700) y deja $25.925 por mes; por prudencia no se cuenta en la recuperación. No se incluyen inflación ni impuestos: el precio es una referencia a la fecha de este documento (sección 3.6). Reemplaza al presupuesto anterior, que era el costo del proyecto más un margen del 25 % ($40.067.266) y no tenía en cuenta que el proyecto se vende a varios clientes.</w:t>
      </w:r>
    </w:p>
    <w:p w:rsidR="00000000" w:rsidDel="00000000" w:rsidP="00000000" w:rsidRDefault="00000000" w:rsidRPr="00000000" w14:paraId="000000D4">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4.2 Modalidad de inversión</w:t>
      </w:r>
    </w:p>
    <w:p w:rsidR="00000000" w:rsidDel="00000000" w:rsidP="00000000" w:rsidRDefault="00000000" w:rsidRPr="00000000" w14:paraId="000000D5">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El componente de mayor peso en el presupuesto es el costo de personal, que en un proyecto no se paga en efectivo, sino que representa el valor del trabajo invertido por cada integrante (es la referencia usada para dimensionar el esfuerzo, no un pago real). El desembolso de dinero real del proyecto se concentra en:</w:t>
      </w:r>
    </w:p>
    <w:p w:rsidR="00000000" w:rsidDel="00000000" w:rsidP="00000000" w:rsidRDefault="00000000" w:rsidRPr="00000000" w14:paraId="00000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Componentes electrónicos: $150.839, distribuidos en los Bloques A, C y D. Todo quedó comprado e instalado: el Bloque A en el telar el 19/09/2026, y los Bloques C y D con el gabinete, probados en la prueba completa del 30/10/2026.</w:t>
      </w:r>
      <w:r>
        <w:rPr>
          <w:rtl w:val="0"/>
        </w:rPr>
      </w:r>
    </w:p>
    <w:p w:rsidR="00000000" w:rsidDel="00000000" w:rsidP="00000000" w:rsidRDefault="00000000" w:rsidRPr="00000000" w14:paraId="000000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Gastos varios/operativos: $77.050 (insumos materiales y dos meses de Claude Pro).</w:t>
      </w:r>
      <w:r>
        <w:rPr>
          <w:rtl w:val="0"/>
        </w:rPr>
      </w:r>
    </w:p>
    <w:p w:rsidR="00000000" w:rsidDel="00000000" w:rsidP="00000000" w:rsidRDefault="00000000" w:rsidRPr="00000000" w14:paraId="000000D8">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Se evaluaron tres alternativas de modalidad de inversión. El equipo eligió la mixta, que se detalla, con su plan de aportes por etapa, en el documento "Modalidad de Inversión, Ganancia y Contrato/Garantía":</w:t>
      </w:r>
    </w:p>
    <w:p w:rsidR="00000000" w:rsidDel="00000000" w:rsidP="00000000" w:rsidRDefault="00000000" w:rsidRPr="00000000" w14:paraId="000000D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Aporte igualitario entre integrantes: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cada miembro del equipo aporta una parte proporcional del costo real de componentes y gastos varios (no del costo de personal, que es horas de trabajo, no dinero).</w:t>
      </w:r>
      <w:r>
        <w:rPr>
          <w:rtl w:val="0"/>
        </w:rPr>
      </w:r>
    </w:p>
    <w:p w:rsidR="00000000" w:rsidDel="00000000" w:rsidP="00000000" w:rsidRDefault="00000000" w:rsidRPr="00000000" w14:paraId="000000D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Financiamiento institucional: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un sponsor cubre la compra de componentes, y el proyecto queda como propiedad institucional al finalizar.</w:t>
      </w:r>
      <w:r>
        <w:rPr>
          <w:rtl w:val="0"/>
        </w:rPr>
      </w:r>
    </w:p>
    <w:p w:rsidR="00000000" w:rsidDel="00000000" w:rsidP="00000000" w:rsidRDefault="00000000" w:rsidRPr="00000000" w14:paraId="000000D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Mixta (la elegida):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aporte inicial del equipo para el Bloque A (arranque de la Etapa 4) y gestión de financiamiento externo para los Bloques C y D (los más caros), una vez confirmada la medición del telar.</w:t>
      </w:r>
      <w:r>
        <w:rPr>
          <w:rtl w:val="0"/>
        </w:rPr>
      </w:r>
    </w:p>
    <w:p w:rsidR="00000000" w:rsidDel="00000000" w:rsidP="00000000" w:rsidRDefault="00000000" w:rsidRPr="00000000" w14:paraId="000000DC">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 recuperación de la inversión se calcula en la sección 4.1: con el precio final de $3.200.000 por telar, se recupera con 19 telares en dos años; lo que se cobra por encima de eso es la ganancia del equipo.</w:t>
      </w:r>
    </w:p>
    <w:p w:rsidR="00000000" w:rsidDel="00000000" w:rsidP="00000000" w:rsidRDefault="00000000" w:rsidRPr="00000000" w14:paraId="000000DD">
      <w:pPr>
        <w:pStyle w:val="Heading1"/>
        <w:spacing w:after="200" w:before="400" w:lineRule="auto"/>
        <w:rPr>
          <w:rFonts w:ascii="Questrial" w:cs="Questrial" w:eastAsia="Questrial" w:hAnsi="Questrial"/>
          <w:sz w:val="38"/>
          <w:szCs w:val="38"/>
        </w:rPr>
      </w:pPr>
      <w:r>
        <w:rPr>
          <w:rtl w:val="0"/>
        </w:rPr>
      </w:r>
    </w:p>
    <w:p w:rsidR="00000000" w:rsidDel="00000000" w:rsidP="00000000" w:rsidRDefault="00000000" w:rsidRPr="00000000" w14:paraId="000000DE">
      <w:pPr>
        <w:pStyle w:val="Heading1"/>
        <w:keepNext/>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5. Contrato y garantía</w:t>
      </w:r>
    </w:p>
    <w:p w:rsidR="00000000" w:rsidDel="00000000" w:rsidP="00000000" w:rsidRDefault="00000000" w:rsidRPr="00000000" w14:paraId="000000DF">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 Documentación de Proyecto ya define Objetivo, Alcance, Plazos, Responsabilidades, Criterios de aceptación y Condiciones de modificación. También incluye la Garantía (sección 10.7 de la Documentación de Proyecto); acá se resume como complemento. No se incluyen datos personales de integrantes, clientes ni terceros, ni se desarrolla el marco de la Ley de Protección de Datos Personales, por decisión del equipo.</w:t>
      </w:r>
    </w:p>
    <w:p w:rsidR="00000000" w:rsidDel="00000000" w:rsidP="00000000" w:rsidRDefault="00000000" w:rsidRPr="00000000" w14:paraId="000000E0">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5.1 Garantía propuesta</w:t>
      </w:r>
    </w:p>
    <w:p w:rsidR="00000000" w:rsidDel="00000000" w:rsidP="00000000" w:rsidRDefault="00000000" w:rsidRPr="00000000" w14:paraId="00000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Alcance: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cubre el nodo ESP32 con su etapa de potencia y protecciones, el firmware cargado, y la integración con la base de datos PostgreSQL (Neon) y la interfaz web, tal como se entregan al aprobar el criterio de aceptación (prueba de 48 horas continuas).</w:t>
      </w:r>
      <w:r>
        <w:rPr>
          <w:rtl w:val="0"/>
        </w:rPr>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IBM Plex Sans" w:cs="IBM Plex Sans" w:eastAsia="IBM Plex Sans" w:hAnsi="IBM Plex Sans"/>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0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Exclusiones: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mal uso, modificaciones no autorizadas del sistema, intervención sobre la estructura de engranajes o motores del telar (explícitamente fuera del alcance), y fallas de fábrica en componentes de terceros (cubiertas, en su caso, por la garantía del fabricante/vendedor original de cada componente).</w:t>
      </w:r>
      <w:r>
        <w:rPr>
          <w:rtl w:val="0"/>
        </w:rPr>
      </w:r>
    </w:p>
    <w:p w:rsidR="00000000" w:rsidDel="00000000" w:rsidP="00000000" w:rsidRDefault="00000000" w:rsidRPr="00000000" w14:paraId="00000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Vigencia: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de uno a tres meses desde la aceptación, en línea con el cierre de proyecto previsto para el 14/11/2026. El plazo exacto dentro de ese rango se define con la cátedra al momento de la entrega final, tal como se indica en la Conclusión.</w:t>
      </w:r>
      <w:r>
        <w:rPr>
          <w:rtl w:val="0"/>
        </w:rPr>
      </w:r>
    </w:p>
    <w:p w:rsidR="00000000" w:rsidDel="00000000" w:rsidP="00000000" w:rsidRDefault="00000000" w:rsidRPr="00000000" w14:paraId="000000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Soporte posterior: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corrección de errores de software/firmware durante la vigencia de la garantía; coincide con la primera de las "Oportunidades de Negocio" (abono mensual de soporte técnico posterior al piloto).</w:t>
      </w:r>
      <w:r>
        <w:rPr>
          <w:rtl w:val="0"/>
        </w:rPr>
      </w:r>
    </w:p>
    <w:p w:rsidR="00000000" w:rsidDel="00000000" w:rsidP="00000000" w:rsidRDefault="00000000" w:rsidRPr="00000000" w14:paraId="000000E6">
      <w:pPr>
        <w:spacing w:after="200" w:lineRule="auto"/>
        <w:rPr>
          <w:rFonts w:ascii="IBM Plex Sans" w:cs="IBM Plex Sans" w:eastAsia="IBM Plex Sans" w:hAnsi="IBM Plex Sans"/>
          <w:sz w:val="24"/>
          <w:szCs w:val="24"/>
        </w:rPr>
      </w:pPr>
      <w:r>
        <w:rPr>
          <w:rtl w:val="0"/>
        </w:rPr>
      </w:r>
    </w:p>
    <w:p w:rsidR="00000000" w:rsidDel="00000000" w:rsidP="00000000" w:rsidRDefault="00000000" w:rsidRPr="00000000" w14:paraId="000000E7">
      <w:pPr>
        <w:pStyle w:val="Heading1"/>
        <w:keepNext/>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6. Servicio de mantenimiento y vida útil</w:t>
      </w:r>
    </w:p>
    <w:p w:rsidR="00000000" w:rsidDel="00000000" w:rsidP="00000000" w:rsidRDefault="00000000" w:rsidRPr="00000000" w14:paraId="000000E8">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Además de la garantía (Sección 5), se propone un servicio de mantenimiento pago que extiende la relación con el cliente más allá de la entrega. Es la principal vía de ingreso recurrente del proyecto: a diferencia de la venta única del sistema, un abono genera facturación mes a mes.</w:t>
      </w:r>
    </w:p>
    <w:p w:rsidR="00000000" w:rsidDel="00000000" w:rsidP="00000000" w:rsidRDefault="00000000" w:rsidRPr="00000000" w14:paraId="000000E9">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6.1 Vida útil de los componentes</w:t>
      </w:r>
    </w:p>
    <w:p w:rsidR="00000000" w:rsidDel="00000000" w:rsidP="00000000" w:rsidRDefault="00000000" w:rsidRPr="00000000" w14:paraId="000000EA">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Los valores de vida útil que siguen provienen de las hojas de datos de los fabricantes y son estimaciones estándar de la industria, no mediciones sobre este telar en particular. La vida real depende del uso: un telar que arranca y para muchas veces por turno desgasta los relés más rápido que uno de marcha continua.</w:t>
      </w:r>
    </w:p>
    <w:p w:rsidR="00000000" w:rsidDel="00000000" w:rsidP="00000000" w:rsidRDefault="00000000" w:rsidRPr="00000000" w14:paraId="000000EB">
      <w:pPr>
        <w:spacing w:after="150" w:lineRule="auto"/>
        <w:rPr>
          <w:rFonts w:ascii="IBM Plex Sans" w:cs="IBM Plex Sans" w:eastAsia="IBM Plex Sans" w:hAnsi="IBM Plex Sans"/>
          <w:sz w:val="24"/>
          <w:szCs w:val="24"/>
        </w:rPr>
      </w:pPr>
      <w:r>
        <w:rPr>
          <w:rtl w:val="0"/>
        </w:rPr>
      </w:r>
    </w:p>
    <w:tbl>
      <w:tblPr>
        <w:tblStyle w:val="Table5"/>
        <w:tblW w:w="144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6120"/>
        <w:gridCol w:w="4605"/>
        <w:tblGridChange w:id="0">
          <w:tblGrid>
            <w:gridCol w:w="3690"/>
            <w:gridCol w:w="6120"/>
            <w:gridCol w:w="4605"/>
          </w:tblGrid>
        </w:tblGridChange>
      </w:tblGrid>
      <w:tr>
        <w:trPr>
          <w:cantSplit/>
          <w:trHeight w:val="360" w:hRule="atLeast"/>
          <w:tblHeader/>
        </w:trPr>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C">
            <w:pPr>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Componente</w:t>
            </w:r>
          </w:p>
        </w:tc>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D">
            <w:pPr>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Vida útil estimada</w:t>
            </w:r>
          </w:p>
        </w:tc>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E">
            <w:pPr>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Qué hacer</w:t>
            </w:r>
          </w:p>
        </w:tc>
      </w:tr>
      <w:tr>
        <w:trPr>
          <w:cantSplit/>
          <w:trHeight w:val="127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EF">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Módulo de relés (3 canales: uno de 2 y uno individual)</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~100.000 maniobras con carga (vida eléctrica del relé Songle SRD-05VDC; la mecánica, sin carga, es de 10 millones). A 20 arranques/pausas por turno ≈ 10 años</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Reemplazo preventivo si se escucha el clic irregular o falla algún canal</w:t>
            </w:r>
          </w:p>
        </w:tc>
      </w:tr>
      <w:tr>
        <w:trPr>
          <w:cantSplit/>
          <w:trHeight w:val="118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5">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Fuente HLK-5M05</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Vida típica de fuente conmutada: 5-8 años en uso continuo. Los capacitores internos son lo primero que se degrada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Medir la salida (debe dar 5 V estables). Cambiar si baja de 4,75 V o fluctúa</w:t>
            </w:r>
          </w:p>
        </w:tc>
      </w:tr>
      <w:tr>
        <w:trPr>
          <w:cantSplit/>
          <w:trHeight w:val="67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B">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ESP32</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Sin partes móviles: &gt;10 años si se mantiene fresco y seco dentro del gabinete</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Solo se reemplaza ante falla; el riesgo real es humedad o calor, no desgaste</w:t>
            </w:r>
          </w:p>
        </w:tc>
      </w:tr>
      <w:tr>
        <w:trPr>
          <w:cantSplit/>
          <w:trHeight w:val="91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0">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Optoacopladores PC817</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~10 años (el LED interno pierde brillo muy lentamente)</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Reemplazar si el sensado empieza a fallar de forma intermitente</w:t>
            </w:r>
          </w:p>
        </w:tc>
      </w:tr>
      <w:tr>
        <w:trPr>
          <w:cantSplit/>
          <w:trHeight w:val="82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5">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Sensor inductivo (Bloque C)</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Sin contacto físico: muy larga, &gt;10 años. Lo que falla suele ser el cable, no el sensor</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Revisar el cable y la fijación, no el sensor</w:t>
            </w:r>
          </w:p>
        </w:tc>
      </w:tr>
      <w:tr>
        <w:trPr>
          <w:cantSplit/>
          <w:trHeight w:val="85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Relés LCA110 (Bloque D)</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Sin contactos ni partes móviles: muy larga. Lo que falla suele ser una soldadura o un error de cableado</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Van en zócalo: se cambian en segundos. Tener uno de repuesto</w:t>
            </w:r>
          </w:p>
        </w:tc>
      </w:tr>
      <w:tr>
        <w:trPr>
          <w:cantSplit/>
          <w:trHeight w:val="1020"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F">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Cable de control y prensacables</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5-10 años, pero en ambiente textil el enemigo es la pelusa y la vibración</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Inspección visual en cada visita: cable rozado, prensacable flojo</w:t>
            </w:r>
          </w:p>
        </w:tc>
      </w:tr>
      <w:tr>
        <w:trPr>
          <w:cantSplit/>
          <w:trHeight w:val="64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4">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Fusible 1A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Es un consumible: dura hasta que actúa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Tener siempre 2-3 de repuesto en la fábrica</w:t>
            </w:r>
          </w:p>
        </w:tc>
      </w:tr>
    </w:tbl>
    <w:p w:rsidR="00000000" w:rsidDel="00000000" w:rsidP="00000000" w:rsidRDefault="00000000" w:rsidRPr="00000000" w14:paraId="00000119">
      <w:pPr>
        <w:spacing w:after="150" w:lineRule="auto"/>
        <w:rPr>
          <w:rFonts w:ascii="IBM Plex Sans" w:cs="IBM Plex Sans" w:eastAsia="IBM Plex Sans" w:hAnsi="IBM Plex Sans"/>
          <w:sz w:val="24"/>
          <w:szCs w:val="24"/>
        </w:rPr>
      </w:pPr>
      <w:r>
        <w:rPr>
          <w:rtl w:val="0"/>
        </w:rPr>
      </w:r>
    </w:p>
    <w:p w:rsidR="00000000" w:rsidDel="00000000" w:rsidP="00000000" w:rsidRDefault="00000000" w:rsidRPr="00000000" w14:paraId="0000011A">
      <w:pPr>
        <w:pStyle w:val="Heading2"/>
        <w:keepNext/>
        <w:spacing w:after="150" w:lineRule="auto" w:before="300"/>
        <w:rPr>
          <w:rFonts w:ascii="IBM Plex Sans" w:cs="IBM Plex Sans" w:eastAsia="IBM Plex Sans" w:hAnsi="IBM Plex Sans"/>
          <w:color w:val="1E3A5F"/>
          <w:sz w:val="30"/>
          <w:szCs w:val="30"/>
        </w:rPr>
      </w:pPr>
      <w:r>
        <w:rPr>
          <w:rFonts w:ascii="Questrial" w:cs="IBM Plex Sans" w:eastAsia="IBM Plex Sans" w:hAnsi="Questrial"/>
          <w:color w:val="1E3A5F"/>
          <w:sz w:val="30"/>
          <w:szCs w:val="30"/>
          <w:rtl w:val="0"/>
        </w:rPr>
        <w:t>6.2 Mantenimiento del software</w:t>
      </w:r>
    </w:p>
    <w:p w:rsidR="00000000" w:rsidDel="00000000" w:rsidP="00000000" w:rsidRDefault="00000000" w:rsidRPr="00000000" w14:paraId="0000011B">
      <w:pPr>
        <w:keepNext/>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El software no se desgasta, pero sí se rompe por causas externas. Estos son los mantenimientos que necesita, con su frecuencia:</w:t>
      </w:r>
    </w:p>
    <w:p w:rsidR="00000000" w:rsidDel="00000000" w:rsidP="00000000" w:rsidRDefault="00000000" w:rsidRPr="00000000" w14:paraId="000001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Dependencias y seguridad (cada 6 meses):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las librerías de Node.js publican parches de seguridad. Sin actualizarlas, el backend queda expuesto con el tiempo.</w:t>
      </w:r>
      <w:r>
        <w:rPr>
          <w:rtl w:val="0"/>
        </w:rPr>
      </w:r>
    </w:p>
    <w:p w:rsidR="00000000" w:rsidDel="00000000" w:rsidP="00000000" w:rsidRDefault="00000000" w:rsidRPr="00000000" w14:paraId="00000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Plataformas externas (continuo):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proyecto depende de Neon (base de datos) y Render (servidor). Ambos cambian condiciones, planes y versiones. El plan Free de Render, además, duerme el servicio tras 15 minutos de inactividad.</w:t>
      </w:r>
      <w:r>
        <w:rPr>
          <w:rtl w:val="0"/>
        </w:rPr>
      </w:r>
    </w:p>
    <w:p w:rsidR="00000000" w:rsidDel="00000000" w:rsidP="00000000" w:rsidRDefault="00000000" w:rsidRPr="00000000" w14:paraId="00000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Backups de la base (mensual):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hoy los patrones y el historial viven solo en Neon. Conviene exportar una copia periódica.</w:t>
      </w:r>
      <w:r>
        <w:rPr>
          <w:rtl w:val="0"/>
        </w:rPr>
      </w:r>
    </w:p>
    <w:p w:rsidR="00000000" w:rsidDel="00000000" w:rsidP="00000000" w:rsidRDefault="00000000" w:rsidRPr="00000000" w14:paraId="000001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Certificado y credenciales (anual):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revisar accesos, contraseñas de la base y del WiFi de la fábrica.</w:t>
      </w:r>
      <w:r>
        <w:rPr>
          <w:rtl w:val="0"/>
        </w:rPr>
      </w:r>
    </w:p>
    <w:p w:rsidR="00000000" w:rsidDel="00000000" w:rsidP="00000000" w:rsidRDefault="00000000" w:rsidRPr="00000000" w14:paraId="000001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Ajustes por cambios del telar: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si la fábrica cambia el patrón de trabajo, agrega un telar o modifica la botonera, el firmware y la web necesitan adaptarse.</w:t>
      </w:r>
      <w:r>
        <w:rPr>
          <w:rtl w:val="0"/>
        </w:rPr>
      </w:r>
    </w:p>
    <w:p w:rsidR="00000000" w:rsidDel="00000000" w:rsidP="00000000" w:rsidRDefault="00000000" w:rsidRPr="00000000" w14:paraId="00000121">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6.3 Planes de servicio propuestos</w:t>
      </w:r>
    </w:p>
    <w:p w:rsidR="00000000" w:rsidDel="00000000" w:rsidP="00000000" w:rsidRDefault="00000000" w:rsidRPr="00000000" w14:paraId="00000122">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Los precios de abajo NO son una cotización cerrada: son un cálculo de referencia usando las mismas tarifas horarias que el resto de este documento (Electrónica $45.750/h, Desarrollo $51.850/h, PM $45.750/h) más un margen del 25%. El equipo debe ajustarlos según lo que decida cobrar y lo que el cliente esté dispuesto a pagar.</w:t>
      </w:r>
    </w:p>
    <w:p w:rsidR="00000000" w:rsidDel="00000000" w:rsidP="00000000" w:rsidRDefault="00000000" w:rsidRPr="00000000" w14:paraId="00000123">
      <w:pPr>
        <w:spacing w:after="150" w:lineRule="auto"/>
        <w:rPr>
          <w:rFonts w:ascii="IBM Plex Sans" w:cs="IBM Plex Sans" w:eastAsia="IBM Plex Sans" w:hAnsi="IBM Plex Sans"/>
          <w:sz w:val="24"/>
          <w:szCs w:val="24"/>
        </w:rPr>
      </w:pPr>
      <w:r>
        <w:rPr>
          <w:rtl w:val="0"/>
        </w:rPr>
      </w:r>
    </w:p>
    <w:tbl>
      <w:tblPr>
        <w:tblStyle w:val="Table6"/>
        <w:tblW w:w="15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0"/>
        <w:gridCol w:w="6300"/>
        <w:gridCol w:w="3315"/>
        <w:gridCol w:w="3015"/>
        <w:tblGridChange w:id="0">
          <w:tblGrid>
            <w:gridCol w:w="2400"/>
            <w:gridCol w:w="6300"/>
            <w:gridCol w:w="3315"/>
            <w:gridCol w:w="3015"/>
          </w:tblGrid>
        </w:tblGridChange>
      </w:tblGrid>
      <w:tr>
        <w:trPr>
          <w:cantSplit/>
          <w:trHeight w:val="705" w:hRule="atLeast"/>
          <w:tblHeader/>
        </w:trPr>
        <w:tc>
          <w:tcPr>
            <w:tcBorders>
              <w:top w:color="1E3A5F" w:space="0" w:sz="8" w:val="single"/>
              <w:left w:color="1E3A5F" w:space="0" w:sz="8" w:val="single"/>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4">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Plan</w:t>
            </w:r>
          </w:p>
        </w:tc>
        <w:tc>
          <w:tcPr>
            <w:tcBorders>
              <w:top w:color="1E3A5F" w:space="0" w:sz="8" w:val="single"/>
              <w:left w:color="000000" w:space="0" w:sz="0" w:val="nil"/>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5">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Qué incluye</w:t>
            </w:r>
          </w:p>
        </w:tc>
        <w:tc>
          <w:tcPr>
            <w:tcBorders>
              <w:top w:color="1E3A5F" w:space="0" w:sz="8" w:val="single"/>
              <w:left w:color="000000" w:space="0" w:sz="0" w:val="nil"/>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6">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Frecuencia</w:t>
            </w:r>
          </w:p>
        </w:tc>
        <w:tc>
          <w:tcPr>
            <w:tcBorders>
              <w:top w:color="1E3A5F" w:space="0" w:sz="8" w:val="single"/>
              <w:left w:color="000000" w:space="0" w:sz="0" w:val="nil"/>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127">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Precio de referencia</w:t>
            </w:r>
          </w:p>
        </w:tc>
      </w:tr>
      <w:tr>
        <w:trPr>
          <w:cantSplit/>
          <w:trHeight w:val="133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8">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Básico, solo software</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9">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Actualización de dependencias y parches de seguridad, monitoreo del backend, backup mensual de la base y corrección de errores de software/firmware.</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A">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Abono mensual (2 h/mes de desarrollo)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B">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$129.625 / mes</w:t>
            </w:r>
          </w:p>
        </w:tc>
      </w:tr>
      <w:tr>
        <w:trPr>
          <w:cantSplit/>
          <w:trHeight w:val="178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C">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Completo, software + visita</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D">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Todo lo del plan Básico, más una visita presencial de inspección: revisión del gabinete y la pelusa acumulada, medición de la fuente, prueba de los 3 relés de la botonera, de los 4 relés de selección LCA110, del sensor de pasada y del sensado, revisión de cables y prensacables.</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E">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Abono mensual + 2 visitas al año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F">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$129.625 / mes + $228.750 por visita</w:t>
            </w:r>
          </w:p>
        </w:tc>
      </w:tr>
      <w:tr>
        <w:trPr>
          <w:cantSplit/>
          <w:trHeight w:val="870"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0">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Por incidente (sin abono)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1">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Atención puntual ante una falla, sin contrato mensual. Sin prioridad de respuesta ni prevención.</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2">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 demanda</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3">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$228.750 por intervención (mínimo 4 h)</w:t>
            </w:r>
          </w:p>
        </w:tc>
      </w:tr>
      <w:tr>
        <w:trPr>
          <w:cantSplit/>
          <w:trHeight w:val="139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4">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Repuestos</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5">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No incluidos en ningún plan: se facturan aparte al costo del componente. Referencia: módulos de relé $5.000 · fuente HLK-5M05 $7.000 · ESP32 $12.203 · relé LCA110 $6.034 · sensor inductivo $7.000 · fusibles ~$800.</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6">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Según necesidad</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7">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Al costo + mano de obra</w:t>
            </w:r>
          </w:p>
        </w:tc>
      </w:tr>
    </w:tbl>
    <w:p w:rsidR="00000000" w:rsidDel="00000000" w:rsidP="00000000" w:rsidRDefault="00000000" w:rsidRPr="00000000" w14:paraId="00000138">
      <w:pPr>
        <w:spacing w:after="150" w:lineRule="auto"/>
        <w:rPr>
          <w:rFonts w:ascii="IBM Plex Sans" w:cs="IBM Plex Sans" w:eastAsia="IBM Plex Sans" w:hAnsi="IBM Plex Sans"/>
          <w:sz w:val="24"/>
          <w:szCs w:val="24"/>
        </w:rPr>
      </w:pPr>
      <w:r>
        <w:rPr>
          <w:rtl w:val="0"/>
        </w:rPr>
      </w:r>
    </w:p>
    <w:p w:rsidR="00000000" w:rsidDel="00000000" w:rsidP="00000000" w:rsidRDefault="00000000" w:rsidRPr="00000000" w14:paraId="00000139">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Por qué importa este servicio: cada telar se vende una sola vez ($3.200.000), pero el plan Completo factura $1.555.500 al año en abonos más $457.500 en visitas, o sea unos $2.013.000 anuales por cliente. Con el sistema ya desarrollado, cada telar adicional que se sume al servicio es casi todo ganancia, y es lo que sostendría el proyecto una vez terminada la etapa escolar.</w:t>
      </w:r>
    </w:p>
    <w:p w:rsidR="00000000" w:rsidDel="00000000" w:rsidP="00000000" w:rsidRDefault="00000000" w:rsidRPr="00000000" w14:paraId="0000013A">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Diferencia con la garantía: la garantía (Sección 5) es gratuita, dura de 1 a 3 meses y solo cubre que lo entregado funcione como se acordó. El mantenimiento es pago, arranca cuando termina la garantía y cubre el desgaste normal, la evolución del software y los cambios que pida la fábrica.</w:t>
      </w:r>
    </w:p>
    <w:p w:rsidR="00000000" w:rsidDel="00000000" w:rsidP="00000000" w:rsidRDefault="00000000" w:rsidRPr="00000000" w14:paraId="0000013B">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 Respaldo y recuperación de datos</w:t>
      </w:r>
    </w:p>
    <w:p w:rsidR="00000000" w:rsidDel="00000000" w:rsidP="00000000" w:rsidRDefault="00000000" w:rsidRPr="00000000" w14:paraId="0000013C">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Todo lo que produce el sistema (los patrones dibujados, el historial de producción y los usuarios registrados) vive únicamente en la base de datos alojada en Neon. Si esa base se pierde o alguien borra un patrón por error, no hay forma de recuperarlo sin un respaldo. Este es, hoy, el punto más frágil del proyecto: el hardware se puede volver a comprar y el código está versionado en GitHub, pero los datos no tienen copia.</w:t>
      </w:r>
    </w:p>
    <w:p w:rsidR="00000000" w:rsidDel="00000000" w:rsidP="00000000" w:rsidRDefault="00000000" w:rsidRPr="00000000" w14:paraId="0000013D">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6.4.1 Lo que ya cubre Neon (sin costo adicional)</w:t>
      </w:r>
    </w:p>
    <w:p w:rsidR="00000000" w:rsidDel="00000000" w:rsidP="00000000" w:rsidRDefault="00000000" w:rsidRPr="00000000" w14:paraId="0000013E">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Neon guarda un registro continuo de cambios que permite "rebobinar" la base a un momento anterior (instant restore o point-in-time restore). En el plan gratuito que usa el proyecto, esa ventana es de 6 horas y está limitada a 1 GB de cambios. Alcanza para revertir un error detectado el mismo día -por ejemplo, si alguien borra un patrón y se da cuenta en el momento, pero no protege contra nada que se descubra al día siguiente, ni contra la pérdida de la cuenta entera.</w:t>
      </w:r>
    </w:p>
    <w:p w:rsidR="00000000" w:rsidDel="00000000" w:rsidP="00000000" w:rsidRDefault="00000000" w:rsidRPr="00000000" w14:paraId="0000013F">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6.4.2 Estrategia de respaldo propuesta</w:t>
      </w:r>
    </w:p>
    <w:p w:rsidR="00000000" w:rsidDel="00000000" w:rsidP="00000000" w:rsidRDefault="00000000" w:rsidRPr="00000000" w14:paraId="00000140">
      <w:pPr>
        <w:keepNext/>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Para cubrir lo que Neon no alcanza, se propone un esquema en tres capas, ordenado de menor a mayor esfuerzo de implementación:</w:t>
      </w:r>
    </w:p>
    <w:p w:rsidR="00000000" w:rsidDel="00000000" w:rsidP="00000000" w:rsidRDefault="00000000" w:rsidRPr="00000000" w14:paraId="000001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1, Restauración instantánea de Neon (ya activa):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ventana de 6 horas. Cubre el error humano detectado en el momento. No requiere ninguna acción del equipo.</w:t>
      </w:r>
      <w:r>
        <w:rPr>
          <w:rtl w:val="0"/>
        </w:rPr>
      </w:r>
    </w:p>
    <w:p w:rsidR="00000000" w:rsidDel="00000000" w:rsidP="00000000" w:rsidRDefault="00000000" w:rsidRPr="00000000" w14:paraId="000001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2, Respaldo automático diario a un repositorio externo: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una tarea programada de GitHub Actions que ejecuta pg_dump contra la base todas las noches y guarda el archivo comprimido. GitHub Actions ofrece minutos gratuitos en repositorios públicos, y un volcado de esta base pesa muy poco (son patrones e historial, no archivos pesados), por lo que el almacenamiento tampoco representa un costo. Es la capa que realmente protege el proyecto y la que conviene implementar antes de la entrega final.</w:t>
      </w:r>
      <w:r>
        <w:rPr>
          <w:rtl w:val="0"/>
        </w:rPr>
      </w:r>
    </w:p>
    <w:p w:rsidR="00000000" w:rsidDel="00000000" w:rsidP="00000000" w:rsidRDefault="00000000" w:rsidRPr="00000000" w14:paraId="000001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3, Copia manual antes de cada cambio importante: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exportar la base a mano desde el panel de Neon antes de correr una migración nueva o de una demostración. Es la red de seguridad para los momentos de mayor riesgo, y no cuesta nada más que un par de minutos.</w:t>
      </w:r>
      <w:r>
        <w:rPr>
          <w:rtl w:val="0"/>
        </w:rPr>
      </w:r>
    </w:p>
    <w:p w:rsidR="00000000" w:rsidDel="00000000" w:rsidP="00000000" w:rsidRDefault="00000000" w:rsidRPr="00000000" w14:paraId="00000144">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6.4.3 Recuperación: qué hacer si se pierden los datos</w:t>
      </w:r>
    </w:p>
    <w:p w:rsidR="00000000" w:rsidDel="00000000" w:rsidP="00000000" w:rsidRDefault="00000000" w:rsidRPr="00000000" w14:paraId="000001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el error se detecta dentro de las 6 horas: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usar la restauración instantánea desde el panel de Neon, eligiendo la fecha y hora anterior al problema. La base vuelve a ese estado sin cambiar la cadena de conexión, así que el backend y el ESP32 siguen funcionando sin tocar nada.</w:t>
      </w:r>
      <w:r>
        <w:rPr>
          <w:rtl w:val="0"/>
        </w:rPr>
      </w:r>
    </w:p>
    <w:p w:rsidR="00000000" w:rsidDel="00000000" w:rsidP="00000000" w:rsidRDefault="00000000" w:rsidRPr="00000000" w14:paraId="000001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pasaron más de 6 horas: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restaurar desde el último respaldo diario con pg_restore. Se pierde lo producido entre ese respaldo y el incidente, que como máximo es un día de trabajo.</w:t>
      </w:r>
      <w:r>
        <w:rPr>
          <w:rtl w:val="0"/>
        </w:rPr>
      </w:r>
    </w:p>
    <w:p w:rsidR="00000000" w:rsidDel="00000000" w:rsidP="00000000" w:rsidRDefault="00000000" w:rsidRPr="00000000" w14:paraId="000001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se pierde la cuenta de Neon entera: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crear un proyecto nuevo, correr el esquema completo del repositorio y restaurar el último respaldo. El código y la estructura de la base están versionados en GitHub, así que solo hacen falta los datos.</w:t>
      </w:r>
      <w:r>
        <w:rPr>
          <w:rtl w:val="0"/>
        </w:rPr>
      </w:r>
    </w:p>
    <w:p w:rsidR="00000000" w:rsidDel="00000000" w:rsidP="00000000" w:rsidRDefault="00000000" w:rsidRPr="00000000" w14:paraId="00000148">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Prueba de restauración: un respaldo que nunca se probó no es un respaldo. Se recomienda incluir en cada visita de mantenimiento (Sección 6.3) una restauración de prueba sobre una base de desarrollo, para confirmar que el archivo sirve y que el procedimiento funciona.</w:t>
      </w:r>
    </w:p>
    <w:p w:rsidR="00000000" w:rsidDel="00000000" w:rsidP="00000000" w:rsidRDefault="00000000" w:rsidRPr="00000000" w14:paraId="00000149">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6.4.4 Impacto en el costo</w:t>
      </w:r>
    </w:p>
    <w:p w:rsidR="00000000" w:rsidDel="00000000" w:rsidP="00000000" w:rsidRDefault="00000000" w:rsidRPr="00000000" w14:paraId="0000014A">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 estrategia propuesta no agrega costo de infraestructura: la restauración de Neon viene incluida en el plan actual, y el respaldo automático corre sobre herramientas ya disponibles para el proyecto. El único costo es el tiempo de implementación -estimado en 3 horas de desarrollo para dejar el respaldo automático configurado y probado, o $194.438 aplicando la tarifa y el margen del proyecto- y queda incluido dentro de los planes de mantenimiento de la Sección 6.3, sin cargo aparte.</w:t>
      </w:r>
    </w:p>
    <w:p w:rsidR="00000000" w:rsidDel="00000000" w:rsidP="00000000" w:rsidRDefault="00000000" w:rsidRPr="00000000" w14:paraId="0000014B">
      <w:pPr>
        <w:pStyle w:val="Heading1"/>
        <w:rPr>
          <w:rFonts w:ascii="Questrial" w:cs="Questrial" w:eastAsia="Questrial" w:hAnsi="Questrial"/>
          <w:color w:val="1E3A5F"/>
          <w:sz w:val="38"/>
          <w:szCs w:val="38"/>
        </w:rPr>
      </w:pPr>
      <w:r>
        <w:rPr>
          <w:rtl w:val="0"/>
        </w:rPr>
      </w:r>
    </w:p>
    <w:p w:rsidR="00000000" w:rsidDel="00000000" w:rsidP="00000000" w:rsidRDefault="00000000" w:rsidRPr="00000000" w14:paraId="0000014C">
      <w:pPr>
        <w:pStyle w:val="Heading1"/>
        <w:keepNext/>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7. Conclusión</w:t>
      </w:r>
    </w:p>
    <w:p w:rsidR="00000000" w:rsidDel="00000000" w:rsidP="00000000" w:rsidRDefault="00000000" w:rsidRPr="00000000" w14:paraId="0000014D">
      <w:pPr>
        <w:spacing w:after="20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El proyecto tiene un costo total estimado de $32.021.188, compuesto casi en su totalidad (99,3%) por el valor del trabajo del equipo y solo marginalmente (0,7%, $227.889) por dinero que realmente hay que desembolsar en componentes y gastos operativos. El precio final es de $3.200.000 por telar: en cada uno se vuelven a gastar $1.511.939 (componentes, insumos y la instalación), y con 19 telares, dos fábricas de 10, la inversión se recupera en dos años.</w:t>
      </w:r>
    </w:p>
    <w:p w:rsidR="00000000" w:rsidDel="00000000" w:rsidP="00000000" w:rsidRDefault="00000000" w:rsidRPr="00000000" w14:paraId="0000014E">
      <w:pPr>
        <w:spacing w:after="20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 modalidad de inversión ya está definida: mixta (Sección 4.2). Quedan cuatro decisiones abiertas para el equipo antes de la entrega final (14/11/2026): fijar la vigencia exacta de la garantía dentro del rango de 1 a 3 meses, confirmar las 28 h de instalación por telar, decidir con qué frecuencia recalcular el precio por el tipo de cambio, y definir los precios finales del servicio de mantenimiento (Sección 6.3), que hoy figuran como valores de referencia calculados sobre las tarifas del proyecto.</w:t>
      </w:r>
    </w:p>
    <w:p w:rsidR="00000000" w:rsidDel="00000000" w:rsidP="00000000" w:rsidRDefault="00000000" w:rsidRPr="00000000" w14:paraId="0000014F">
      <w:pPr>
        <w:spacing w:after="200" w:lineRule="auto"/>
        <w:rPr>
          <w:rFonts w:ascii="IBM Plex Sans" w:cs="IBM Plex Sans" w:eastAsia="IBM Plex Sans" w:hAnsi="IBM Plex Sans"/>
          <w:sz w:val="24"/>
          <w:szCs w:val="24"/>
        </w:rPr>
      </w:pPr>
      <w:r>
        <w:rPr>
          <w:rtl w:val="0"/>
        </w:rPr>
      </w:r>
    </w:p>
    <w:sectPr>
      <w:headerReference r:id="rId7" w:type="default"/>
      <w:footerReference r:id="rId8" w:type="default"/>
      <w:pgSz w:h="23811" w:w="16838" w:orient="portrait"/>
      <w:pgMar w:bottom="1080" w:top="1080" w:left="720" w:right="720" w:header="708" w:footer="708"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 w:name="Arial Unicode MS"/>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1">
    <w:pPr>
      <w:jc w:val="center"/>
      <w:rPr>
        <w:rFonts w:ascii="IBM Plex Sans" w:cs="IBM Plex Sans" w:eastAsia="IBM Plex Sans" w:hAnsi="IBM Plex Sans"/>
      </w:rPr>
    </w:pPr>
    <w:r w:rsidDel="00000000" w:rsidR="00000000" w:rsidRPr="00000000">
      <w:rPr>
        <w:rFonts w:ascii="IBM Plex Sans" w:cs="IBM Plex Sans" w:eastAsia="IBM Plex Sans" w:hAnsi="IBM Plex Sans"/>
        <w:color w:val="808080"/>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0">
    <w:pPr>
      <w:jc w:val="right"/>
      <w:rPr>
        <w:rFonts w:ascii="IBM Plex Sans" w:cs="IBM Plex Sans" w:eastAsia="IBM Plex Sans" w:hAnsi="IBM Plex Sans"/>
      </w:rPr>
    </w:pPr>
    <w:r w:rsidDel="00000000" w:rsidR="00000000" w:rsidRPr="00000000">
      <w:rPr>
        <w:rFonts w:ascii="IBM Plex Sans" w:cs="IBM Plex Sans" w:eastAsia="IBM Plex Sans" w:hAnsi="IBM Plex Sans"/>
        <w:color w:val="808080"/>
        <w:sz w:val="16"/>
        <w:szCs w:val="16"/>
        <w:rtl w:val="0"/>
      </w:rPr>
      <w:t xml:space="preserve">Automatización de Telar Industrial, Control de Inserción de Trama</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000000"/>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Strong1" w:customStyle="1">
    <w:name w:val="Strong1"/>
    <w:qFormat w:val="1"/>
    <w:rPr>
      <w:b w:val="1"/>
      <w:bCs w:val="1"/>
    </w:rPr>
  </w:style>
  <w:style w:type="paragraph" w:styleId="ListParagraph">
    <w:name w:val="List Paragraph"/>
    <w:qFormat w:val="1"/>
  </w:style>
  <w:style w:type="character" w:styleId="Hyperlink">
    <w:name w:val="Hyperlink"/>
    <w:uiPriority w:val="99"/>
    <w:unhideWhenUsed w:val="1"/>
    <w:rPr>
      <w:color w:val="0563c1"/>
      <w:u w:val="single"/>
    </w:rPr>
  </w:style>
  <w:style w:type="character" w:styleId="FootnoteReference">
    <w:name w:val="footnote reference"/>
    <w:uiPriority w:val="99"/>
    <w:semiHidden w:val="1"/>
    <w:unhideWhenUsed w:val="1"/>
    <w:rPr>
      <w:vertAlign w:val="superscript"/>
    </w:rPr>
  </w:style>
  <w:style w:type="paragraph" w:styleId="FootnoteText">
    <w:name w:val="footnote text"/>
    <w:link w:val="FootnoteTextChar"/>
    <w:uiPriority w:val="99"/>
    <w:semiHidden w:val="1"/>
    <w:unhideWhenUsed w:val="1"/>
  </w:style>
  <w:style w:type="character" w:styleId="FootnoteTextChar" w:customStyle="1">
    <w:name w:val="Footnote Text Char"/>
    <w:link w:val="FootnoteText"/>
    <w:uiPriority w:val="99"/>
    <w:semiHidden w:val="1"/>
    <w:unhideWhenUsed w:val="1"/>
    <w:rPr>
      <w:sz w:val="20"/>
      <w:szCs w:val="20"/>
    </w:rPr>
  </w:style>
  <w:style w:type="character" w:styleId="EndnoteReference">
    <w:name w:val="endnote reference"/>
    <w:uiPriority w:val="99"/>
    <w:semiHidden w:val="1"/>
    <w:unhideWhenUsed w:val="1"/>
    <w:rPr>
      <w:vertAlign w:val="superscript"/>
    </w:rPr>
  </w:style>
  <w:style w:type="paragraph" w:styleId="EndnoteText">
    <w:name w:val="endnote text"/>
    <w:link w:val="EndnoteTextChar"/>
    <w:uiPriority w:val="99"/>
    <w:semiHidden w:val="1"/>
    <w:unhideWhenUsed w:val="1"/>
  </w:style>
  <w:style w:type="character" w:styleId="EndnoteTextChar" w:customStyle="1">
    <w:name w:val="Endnote Text Char"/>
    <w:link w:val="EndnoteText"/>
    <w:uiPriority w:val="99"/>
    <w:semiHidden w:val="1"/>
    <w:unhideWhenUsed w:val="1"/>
    <w:rPr>
      <w:sz w:val="20"/>
      <w:szCs w:val="20"/>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CFEIeqREPG3UaY0jxmYhEs+e+/g==">CgMxLjAaJAoBMBIfCh0IB0IZCgVBcmlhbBIQQXJpYWwgVW5pY29kZSBNUxokCgExEh8KHQgHQhkKBUFyaWFsEhBBcmlhbCBVbmljb2RlIE1TGiQKATISHwodCAdCGQoFQXJpYWwSEEFyaWFsIFVuaWNvZGUgTVM4AHIhMTNtQk43R0dCMFJrVjJIelhOaXFCVkI0WEtKYzYyZGVw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2026-08-08T00:02:00Z</dcterms:created>
  <dc:creator>Un-named</dc:creator>
</cp:coreProperties>
</file>