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propuesta,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102,08</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$4.903.828</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39,40</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$2.145.035</w:t>
            </w:r>
            <w:r>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60,82</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$3.311.011</w:t>
            </w:r>
            <w:r>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76,50</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$3.919.860</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39,23</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$2.010.316</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46,47</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$2.380.952</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12,07</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$618.296</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77,03</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$3.330.440</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 *</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30,98</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$1.587.586</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 *</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7,42</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$320.650</w:t>
            </w:r>
            <w:r>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$24.527.996</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(pasó a ser medición/test sin costo (instrumental prestado)). Con el gabinete, prensacables y borneras ya cargados como costo real, el subtotal de componentes quedó en $112.803.</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Marcha/Pausa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Comprar ahora, para la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Comprar junto con el Bloque D, después de medir</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Recién después de medir el telar (tarea 5.10)</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$25.200</w:t>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$112.803</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$24.527.996</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$112.803</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$24.750.474</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$6.187.618</w:t>
            </w:r>
            <w:r>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$30.938.092</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$24.750.474 de costo total, el 99,1% ($24.527.996) es costo de personal y apenas el 0,9% restante ($222.478, materiales y gastos operativos) es dinero que el equipo realmente va a desembolsar (componentes + gastos varios). Esto no es un error de cálculo: la tarifa de personal es un valor de referencia de mercado para un profesional junior, aplicado a las 492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$112.803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(99,1%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$29.400.000 (y el presupuesto final con margen a cerca de $37.500.000),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($112.803)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$24.750.474 (personal + componentes + gastos varios), se aplica un margen del 25%, lo que deja una ganancia proyectada de $6.187.618 sobre un presupuesto final de $30.938.092.</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 (propuesta a definir por el equipo)</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$112.803, distribuidos en los Bloques A, C y D. El Bloque A está prácticamente completo; los Bloques C y D se compran después de medir el telar.</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proponen las siguientes alternativas de modalidad de inversión, a confirmar con el equipo y/o la institución:</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 definir por el equipo y la cátedra (por ejemplo, un período acotado posterior a la fecha de aceptación, en línea con el cierre de proyecto previsto para el 14/11/2026). Conviene cerrar este valor concreto antes de la 3ra presentación (mediados de septiembre),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maniobras mecánicas (dato del relé Songle SRD-05VDC). A 20 arranques/pausas</w:t>
            </w:r>
          </w:p>
          <w:p w:rsidR="00000000" w:rsidDel="00000000" w:rsidP="00000000" w:rsidRDefault="00000000" w:rsidRPr="00000000" w14:paraId="000000F2">
            <w:pPr>
              <w:rPr>
                <w:rFonts w:ascii="IBM Plex Sans" w:cs="IBM Plex Sans" w:eastAsia="IBM Plex Sans" w:hAnsi="IBM Plex Sans"/>
                <w:sz w:val="24"/>
                <w:szCs w:val="24"/>
              </w:rPr>
            </w:pPr>
            <w:sdt>
              <w:sdtPr>
                <w:id w:val="-740953440"/>
                <w:tag w:val="goog_rdk_2"/>
              </w:sdtPr>
              <w:sdtContent>
                <w:r>
                  <w:rPr>
                    <w:rFonts w:ascii="IBM Plex Sans" w:cs="IBM Plex Sans" w:eastAsia="IBM Plex Sans" w:hAnsi="IBM Plex Sans"/>
                    <w:sz w:val="24"/>
                    <w:szCs w:val="24"/>
                    <w:rtl w:val="0"/>
                  </w:rPr>
                  <w:t xml:space="preserve">  por turno ≈ 10 años</w:t>
                </w:r>
              </w:sdtContent>
            </w:sdt>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w:t>
            </w:r>
          </w:p>
          <w:p w:rsidR="00000000" w:rsidDel="00000000" w:rsidP="00000000" w:rsidRDefault="00000000" w:rsidRPr="00000000" w14:paraId="000000F4">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fuente conmutada: 5-8 años en uso continuo. Los capacitores internos son lo</w:t>
            </w:r>
          </w:p>
          <w:p w:rsidR="00000000" w:rsidDel="00000000" w:rsidP="00000000" w:rsidRDefault="00000000" w:rsidRPr="00000000" w14:paraId="000000F8">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w:t>
            </w:r>
          </w:p>
          <w:p w:rsidR="00000000" w:rsidDel="00000000" w:rsidP="00000000" w:rsidRDefault="00000000" w:rsidRPr="00000000" w14:paraId="000000FA">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(debe dar 5V estables). Cambiar si baja de 4,7V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w:t>
            </w:r>
          </w:p>
          <w:p w:rsidR="00000000" w:rsidDel="00000000" w:rsidP="00000000" w:rsidRDefault="00000000" w:rsidRPr="00000000" w14:paraId="000000FD">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w:t>
            </w:r>
          </w:p>
          <w:p w:rsidR="00000000" w:rsidDel="00000000" w:rsidP="00000000" w:rsidRDefault="00000000" w:rsidRPr="00000000" w14:paraId="000000FF">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w:t>
            </w:r>
          </w:p>
          <w:p w:rsidR="00000000" w:rsidDel="00000000" w:rsidP="00000000" w:rsidRDefault="00000000" w:rsidRPr="00000000" w14:paraId="00000102">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w:t>
            </w:r>
          </w:p>
          <w:p w:rsidR="00000000" w:rsidDel="00000000" w:rsidP="00000000" w:rsidRDefault="00000000" w:rsidRPr="00000000" w14:paraId="00000104">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w:t>
            </w:r>
          </w:p>
          <w:p w:rsidR="00000000" w:rsidDel="00000000" w:rsidP="00000000" w:rsidRDefault="00000000" w:rsidRPr="00000000" w14:paraId="00000107">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w:t>
            </w:r>
          </w:p>
          <w:p w:rsidR="00000000" w:rsidDel="00000000" w:rsidP="00000000" w:rsidRDefault="00000000" w:rsidRPr="00000000" w14:paraId="00000109">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A">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Bobinas de selección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Depende del ciclo</w:t>
            </w:r>
          </w:p>
          <w:p w:rsidR="00000000" w:rsidDel="00000000" w:rsidP="00000000" w:rsidRDefault="00000000" w:rsidRPr="00000000" w14:paraId="0000010C">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 trabajo y la temperatura. Es el componente de mayor desgaste del sistema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Definir tras la</w:t>
            </w:r>
          </w:p>
          <w:p w:rsidR="00000000" w:rsidDel="00000000" w:rsidP="00000000" w:rsidRDefault="00000000" w:rsidRPr="00000000" w14:paraId="0000010E">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medición del telar y el ensayo térmico (tarea 5.17)</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w:t>
            </w:r>
          </w:p>
          <w:p w:rsidR="00000000" w:rsidDel="00000000" w:rsidP="00000000" w:rsidRDefault="00000000" w:rsidRPr="00000000" w14:paraId="00000111">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w:t>
            </w:r>
          </w:p>
          <w:p w:rsidR="00000000" w:rsidDel="00000000" w:rsidP="00000000" w:rsidRDefault="00000000" w:rsidRPr="00000000" w14:paraId="0000011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w:t>
            </w:r>
          </w:p>
          <w:p w:rsidR="00000000" w:rsidDel="00000000" w:rsidP="00000000" w:rsidRDefault="00000000" w:rsidRPr="00000000" w14:paraId="0000011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w:t>
            </w:r>
          </w:p>
          <w:p w:rsidR="00000000" w:rsidDel="00000000" w:rsidP="00000000" w:rsidRDefault="00000000" w:rsidRPr="00000000" w14:paraId="00000118">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$49.600/h, Desarrollo $52.700/h, PM $46.500/h)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$131.750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$131.750 / mes + $244.125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$244.125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 de relés $3.463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($30.938.092 con margen), pero el plan Completo factura $1.581.000 al año en abonos más $488.250 en visitas, o sea unos $2.069.250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$197.625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$24.750.474, compuesto casi en su totalidad (99,1%) por el valor del trabajo del equipo y solo marginalmente (0,9%, $222.478) por dinero que realmente hay que desembolsar en componentes y gastos operativos. Con el margen del 25% ya usado en la plantilla original, el presupuesto final asciende a $30.938.092, dejando una ganancia proyectada de $6.187.618.</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Quedan cuatro decisiones abiertas para el equipo antes de la 3ra presentación (mediados de septiembre): definir la modalidad de inversión real,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