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las matrices de tejido en el telar es un proceso manual, sin registro digital ni forma de repetirlo con exactitud.</w:t>
      </w:r>
    </w:p>
    <w:p w:rsidR="00000000" w:rsidDel="00000000" w:rsidP="00000000" w:rsidRDefault="00000000" w:rsidRPr="00000000" w14:paraId="00000009">
      <w:pPr>
        <w:pStyle w:val="Heading2"/>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borraba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cada fila lleva una sola bobina (en cada pasada entra una sola trama) y cada columna es una bobina de selección,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 Pausa y Retroceder según lo que indica el backend y avisando cuando alguien usa la botonera a mano.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 Pausa y Retroceder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de la consulta anterior.</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reflejarlo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la pausa y el retroceso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Retroceder: </w:t>
      </w:r>
      <w:r>
        <w:rPr>
          <w:rFonts w:ascii="IBM Plex Sans" w:cs="IBM Plex Sans" w:eastAsia="IBM Plex Sans" w:hAnsi="IBM Plex Sans"/>
          <w:sz w:val="22"/>
          <w:szCs w:val="22"/>
          <w:rtl w:val="0"/>
        </w:rPr>
        <w:t xml:space="preserve">cada pedido de Retroceder desde la web se traduce en un pulso en su relé, siempre después de la Pausa.</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 El relevamiento confirmó que el telar de implementación (Vamatex C 201) no es un Jacquard de tarjetas sino un telar con cinta de papel perforada y cuatro bobinas de selección; la descripción de las dos máquinas conserva el análisis inicial.</w:t>
      </w:r>
    </w:p>
    <w:p w:rsidR="00000000" w:rsidDel="00000000" w:rsidP="00000000" w:rsidRDefault="00000000" w:rsidRPr="00000000" w14:paraId="00000042">
      <w:pPr>
        <w:pStyle w:val="Heading3"/>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(Marcha/Pausa/Retroceder).</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la máquina lectora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Marcha, Pausa y Retroceder al telar mediante los tres relés en paralelo con la botonera. Estado: instalado y probado en el telar el 19/09/2026.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Marcha, sino que le entregue al telar la secuencia completa del dibujo (qué bobina se activa en cada pasada), ocupando el lugar de la cinta perforada. En este telar, la secuencia la lee un lector óptico sobre una cinta de papel perforada: con agujero, el lector da la señal que activa la bobina de selección de esa pasada. Llegar al Nivel 2 implica que esa señal la dé el sistema: un relé LCA110 en el lugar de cada lector óptico, comandado por el ESP32 con la secuencia que recibe del backend, y un sensor inductivo que cuenta las pasadas. Es un proyecto de hardware en sí mismo, y es el que se está desarrollando actualmente: se probó en protoboard el 10/10/2026 y se está armando la plaqueta.</w:t>
      </w:r>
    </w:p>
    <w:p w:rsidR="00000000" w:rsidDel="00000000" w:rsidP="00000000" w:rsidRDefault="00000000" w:rsidRPr="00000000" w14:paraId="0000004B">
      <w:pPr>
        <w:pStyle w:val="Heading3"/>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dibujo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En este sistema, cada pasada se reduce a indicar qué bobina de selección se activa: en cada pasada entra una sola trama.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(cada fila indica qué bobina se activa y cuántas pasadas seguidas se teje); el backend ya guarda y entrega esa secuencia por la API, sin necesidad de rediseñarlo; y el firmware del ESP32 pasa de accionar los 3 relés existentes (Marcha/Pausa/Retroceder) a accionar además los cuatro relés LCA110 de los lectores ópticos. En otras palabras: la parte de software ya estaba casi lista; lo que se sumó fue la parte física: un relé por lector óptico.</w:t>
      </w:r>
    </w:p>
    <w:p w:rsidR="00000000" w:rsidDel="00000000" w:rsidP="00000000" w:rsidRDefault="00000000" w:rsidRPr="00000000" w14:paraId="00000050">
      <w:pPr>
        <w:pStyle w:val="Heading1"/>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rHeight w:val="876.5234375" w:hRule="atLeast"/>
          <w:tblHeader w:val="0"/>
        </w:trPr>
        <w:tc>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val="0"/>
          <w:tblHeader w:val="0"/>
        </w:trPr>
        <w:tc>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val="0"/>
          <w:tblHeader w:val="0"/>
        </w:trPr>
        <w:tc>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val="0"/>
          <w:tblHeader w:val="0"/>
        </w:trPr>
        <w:tc>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val="0"/>
          <w:tblHeader w:val="0"/>
        </w:trPr>
        <w:tc>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val="0"/>
          <w:tblHeader w:val="0"/>
        </w:trPr>
        <w:tc>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val="0"/>
          <w:tblHeader w:val="0"/>
        </w:trPr>
        <w:tc>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val="0"/>
          <w:tblHeader w:val="0"/>
        </w:trPr>
        <w:tc>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val="0"/>
          <w:tblHeader w:val="0"/>
        </w:trPr>
        <w:tc>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val="0"/>
          <w:tblHeader w:val="0"/>
        </w:trPr>
        <w:tc>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val="0"/>
          <w:tblHeader w:val="0"/>
        </w:trPr>
        <w:tc>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val="0"/>
          <w:tblHeader w:val="0"/>
        </w:trPr>
        <w:tc>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946"/>
        <w:gridCol w:w="2946"/>
        <w:gridCol w:w="2946"/>
        <w:tblGridChange w:id="0">
          <w:tblGrid>
            <w:gridCol w:w="2946"/>
            <w:gridCol w:w="2946"/>
            <w:gridCol w:w="2946"/>
          </w:tblGrid>
        </w:tblGridChange>
      </w:tblGrid>
      <w:tr>
        <w:trPr>
          <w:cantSplit w:val="0"/>
          <w:tblHeader w:val="0"/>
        </w:trPr>
        <w:tc>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val="0"/>
          <w:tblHeader w:val="0"/>
        </w:trPr>
        <w:tc>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val="0"/>
          <w:tblHeader w:val="0"/>
        </w:trPr>
        <w:tc>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val="0"/>
          <w:tblHeader w:val="0"/>
        </w:trPr>
        <w:tc>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eléctricas y la sincronización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 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el sensor inductivo por los inconvenientes que podría generar reutilizarlo.</w:t>
      </w:r>
    </w:p>
    <w:p w:rsidR="00000000" w:rsidDel="00000000" w:rsidP="00000000" w:rsidRDefault="00000000" w:rsidRPr="00000000" w14:paraId="000000AE">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las conexiones y ya se está coordinando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w:t>
      </w:r>
      <w:r>
        <w:rPr>
          <w:rFonts w:ascii="IBM Plex Sans" w:cs="IBM Plex Sans" w:eastAsia="IBM Plex Sans" w:hAnsi="IBM Plex Sans"/>
          <w:sz w:val="22"/>
          <w:szCs w:val="22"/>
          <w:rtl w:val="0"/>
        </w:rPr>
        <w:t xml:space="preserve">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w:t>
      </w:r>
      <w:r>
        <w:rPr>
          <w:rFonts w:ascii="IBM Plex Sans" w:cs="IBM Plex Sans" w:eastAsia="IBM Plex Sans" w:hAnsi="IBM Plex Sans"/>
          <w:sz w:val="22"/>
          <w:szCs w:val="22"/>
          <w:rtl w:val="0"/>
        </w:rPr>
        <w:t xml:space="preserve">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w:t>
      </w:r>
      <w:r>
        <w:rPr>
          <w:rFonts w:ascii="IBM Plex Sans" w:cs="IBM Plex Sans" w:eastAsia="IBM Plex Sans" w:hAnsi="IBM Plex Sans"/>
          <w:sz w:val="22"/>
          <w:szCs w:val="22"/>
          <w:rtl w:val="0"/>
        </w:rPr>
        <w:t xml:space="preserve">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w:t>
      </w:r>
      <w:r>
        <w:rPr>
          <w:rFonts w:ascii="IBM Plex Sans" w:cs="IBM Plex Sans" w:eastAsia="IBM Plex Sans" w:hAnsi="IBM Plex Sans"/>
          <w:sz w:val="22"/>
          <w:szCs w:val="22"/>
          <w:rtl w:val="0"/>
        </w:rPr>
        <w:t xml:space="preserve">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w:t>
      </w:r>
      <w:r>
        <w:rPr>
          <w:rFonts w:ascii="IBM Plex Sans" w:cs="IBM Plex Sans" w:eastAsia="IBM Plex Sans" w:hAnsi="IBM Plex Sans"/>
          <w:sz w:val="22"/>
          <w:szCs w:val="22"/>
          <w:rtl w:val="0"/>
        </w:rPr>
        <w:t xml:space="preserve">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w:t>
      </w:r>
      <w:r>
        <w:rPr>
          <w:rFonts w:ascii="IBM Plex Sans" w:cs="IBM Plex Sans" w:eastAsia="IBM Plex Sans" w:hAnsi="IBM Plex Sans"/>
          <w:sz w:val="22"/>
          <w:szCs w:val="22"/>
          <w:rtl w:val="0"/>
        </w:rPr>
        <w:t xml:space="preserve">Reunión interna del equipo para continuar con el armado del hardware. Se montó el nodo de control dentro del gabinete IP65: el microcontrolador, los dos módulos de relé (tres relés en total),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w:t>
      </w:r>
      <w:r>
        <w:rPr>
          <w:rFonts w:ascii="IBM Plex Sans" w:cs="IBM Plex Sans" w:eastAsia="IBM Plex Sans" w:hAnsi="IBM Plex Sans"/>
          <w:sz w:val="22"/>
          <w:szCs w:val="22"/>
          <w:rtl w:val="0"/>
        </w:rPr>
        <w:t xml:space="preserve">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w:t>
      </w:r>
      <w:r>
        <w:rPr>
          <w:rFonts w:ascii="IBM Plex Sans" w:cs="IBM Plex Sans" w:eastAsia="IBM Plex Sans" w:hAnsi="IBM Plex Sans"/>
          <w:sz w:val="22"/>
          <w:szCs w:val="22"/>
          <w:rtl w:val="0"/>
        </w:rPr>
        <w:t xml:space="preserve">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10/09/2026: </w:t>
      </w:r>
      <w:r>
        <w:rPr>
          <w:rFonts w:ascii="IBM Plex Sans" w:cs="IBM Plex Sans" w:eastAsia="IBM Plex Sans" w:hAnsi="IBM Plex Sans"/>
          <w:sz w:val="22"/>
          <w:szCs w:val="22"/>
          <w:rtl w:val="0"/>
        </w:rPr>
        <w:t xml:space="preserve">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19/09/2026: </w:t>
      </w:r>
      <w:r>
        <w:rPr>
          <w:rFonts w:ascii="IBM Plex Sans" w:cs="IBM Plex Sans" w:eastAsia="IBM Plex Sans" w:hAnsi="IBM Plex Sans"/>
          <w:sz w:val="22"/>
          <w:szCs w:val="22"/>
          <w:rtl w:val="0"/>
        </w:rPr>
        <w:t xml:space="preserve">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 y 24/09/2026: </w:t>
      </w:r>
      <w:r>
        <w:rPr>
          <w:rFonts w:ascii="IBM Plex Sans" w:cs="IBM Plex Sans" w:eastAsia="IBM Plex Sans" w:hAnsi="IBM Plex Sans"/>
          <w:sz w:val="22"/>
          <w:szCs w:val="22"/>
          <w:rtl w:val="0"/>
        </w:rPr>
        <w:t xml:space="preserve">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w:t>
      </w:r>
      <w:r>
        <w:rPr>
          <w:rFonts w:ascii="IBM Plex Sans" w:cs="IBM Plex Sans" w:eastAsia="IBM Plex Sans" w:hAnsi="IBM Plex Sans"/>
          <w:sz w:val="22"/>
          <w:szCs w:val="22"/>
          <w:rtl w:val="0"/>
        </w:rPr>
        <w:t xml:space="preserve">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w:t>
      </w:r>
      <w:r>
        <w:rPr>
          <w:rFonts w:ascii="IBM Plex Sans" w:cs="IBM Plex Sans" w:eastAsia="IBM Plex Sans" w:hAnsi="IBM Plex Sans"/>
          <w:sz w:val="22"/>
          <w:szCs w:val="22"/>
          <w:rtl w:val="0"/>
        </w:rPr>
        <w:t xml:space="preserve">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14/10/2026: </w:t>
      </w:r>
      <w:r>
        <w:rPr>
          <w:rFonts w:ascii="IBM Plex Sans" w:cs="IBM Plex Sans" w:eastAsia="IBM Plex Sans" w:hAnsi="IBM Plex Sans"/>
          <w:sz w:val="22"/>
          <w:szCs w:val="22"/>
          <w:rtl w:val="0"/>
        </w:rPr>
        <w:t xml:space="preserve">Se separó el sensado de la botonera en una plaqueta propia, impresa (la plaqueta 5), que se une a la principal por el conector J4 (3,3 V, GND y GPIO 32, 33 y 34): el gabinete pasa a tener cinco plaquetas. Cada canal de sensado lleva un capacitor de 22 µF 50 V después del puente, que mantiene encendido el LED del optoacoplador entre semiciclos (sin él, se apagaría 100 veces por segundo y saldrían avisos solos); con ese valor, el botón tiene que mantenerse apretado entre 0,15 y 0,25 s para registrarse. El firmware descarta los avisos cuando dos o más canales de la botonera bajan juntos (dentro de 150 ms), que es lo que pasa al prender el telar con el gabinete encendido. Se hizo además una revisión completa del código, los documentos, las planillas y los diagramas.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16/10/2026: Se armó el resumen de las conexiones de las cinco plaquetas para quien las arma (Conexiones_de_las_plaquetas.docx): qué lleva cada plaqueta, los conectores J1 a J4 y las borneras B1 a B3, el mapa de pines del ESP32 y la conexión pata por pata. Al revisar el diseño en curso en Proteus se marcaron seis correcciones: los relés LCA110 van en los GPIO 18, 19, 21 y 22; los capacitores del sensado, de 22 µF 50 V; el sensor se alimenta del telar, sin bornera aparte; los LCA110 van en zócalos DIP-6; la bornera de cada botón es doble, y el capacitor de la entrada de 5 V es de 470 µF. También se reorganizó el Gantt con las fechas reales: 166 tareas en 8 etapas, sin tareas repetidas, con la presentación a los profesores el 04/11/2026.</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17/10/2026: Visita a la fábrica para probar el Nivel 2 en el telar, todavía armado en protoboard. Se midió la alimentación del lector óptico: da entre 15 y 30 V, así que la resistencia de protección de cada canal es la de 470 Ω 3 W. Se conectó y se calibró el sensor de pasada, que cuenta las pasadas de la máquina, y se conectó el primer canal de los relés LCA110 en el lugar del lector, con la conexión final: seleccionó bien. Quedan los otros tres canales, pasar el armado a las plaquetas soldadas (en curso) e instalar el gabinete en la planta.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19/10/2026: La barra del editor muestra en qué pasada de la fila va el telar, por ejemplo «Fila 2 / 7 · pasada 45 de 120», y en un intercalado «pasada 57 de 120 del intercalado». Sirve para saber por qué parte del dibujo va la tela cuando una fila se teje muchas pasadas seguidas. Se fijó además el valor por hora de Electrónica (30 USD) y de Multimedios (27 USD), que no lo tenían: con eso el presupuesto pasa a $39.446.255 (costo $31.557.004 y ganancia $7.889.251), y en la planilla del Gantt cada renglón de la Estimación de Costos toma las horas y el valor de su propio rol.</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20/10/2026: Se sumaron dos funciones a la aplicación. El modo solo sensado: un interruptor en la barra de estado del editor apaga y prende el control del telar desde la página. Apagado, la página no arranca, no pausa ni retrocede la máquina (el backend rechaza las órdenes y el ESP32 no acciona ningún relé, aunque cambie el estado), ▶ solo carga el dibujo y la máquina arranca con Marcha en la botonera; el sensado de la botonera y del sensor sigue igual y la página lleva la cuenta. La vista para clientes: cada dibujo puede tener una clave (TEJ-XXXX-XXXX), que el operario genera desde la ficha del dibujo; con «Soy cliente: ver mi tejido» el cliente entra y ve solo ese tejido, sin controles: si se está tejiendo, por qué fila y pasada va, los metros, cuánto lleva de su pedido y la vista previa de la tela. La clave se guarda con hash y cifrada, y generar una nueva invalida la anterior. Se agregaron las migraciones 023 y 024 (la base pasa a diez tablas) y se actualizaron los manuales, la documentación, los diagramas de la base y las capturas. En el Gantt se sumaron las tareas de las dos funciones (7,12 a 7,14) y se registró lo hecho el 17/10: quedan 169 tareas y 643 horas, y con ellas el presupuesto pasa a $40.095.441 (costo $32.076.353 y ganancia $8.019.088).</w:t>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