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Faltan los otros tres canales y las plaquetas soldadas, que se están armando para la instalación definitiva.</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el ingreso, con «Soy cliente: ver mi tejido» y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val="0"/>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accesos_cliente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cliente_nombre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clave_hash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clave_cifrada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creada_por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La huella se lee con el dedo descubierto, sin guante.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Sesión iniciada, dibujo en edición y accesos a las funciones principales (el estado del telar se ve en el Editor).</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 Se pueden apagar desde la página (solo sensado).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En las dos paletas, el texto principal y el color de acento superan la relación AAA (7:1); el texto tenue cumple la AA (4,5:1).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 xml:space="preserve">RIU08</w:t>
            </w:r>
          </w:p>
        </w:tc>
        <w:tc>
          <w:tcPr>
            <w:tcW w:type="dxa" w:w="1473"/>
          </w:tcPr>
          <w:p>
            <w:pPr>
              <w:jc w:val="left"/>
            </w:pPr>
            <w:r/>
            <w:r>
              <w:rPr>
                <w:rFonts w:ascii="IBM Plex Sans" w:hAnsi="IBM Plex Sans"/>
                <w:sz w:val="18"/>
              </w:rPr>
              <w:t xml:space="preserve">Vista del cliente</w:t>
            </w:r>
          </w:p>
        </w:tc>
        <w:tc>
          <w:tcPr>
            <w:tcW w:type="dxa" w:w="1473"/>
          </w:tcPr>
          <w:p>
            <w:pPr>
              <w:jc w:val="left"/>
            </w:pPr>
            <w:r/>
            <w:r>
              <w:rPr>
                <w:rFonts w:ascii="IBM Plex Sans" w:hAnsi="IBM Plex Sans"/>
                <w:sz w:val="18"/>
              </w:rPr>
              <w:t xml:space="preserve">Visual</w:t>
            </w:r>
          </w:p>
        </w:tc>
        <w:tc>
          <w:tcPr>
            <w:tcW w:type="dxa" w:w="1473"/>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473"/>
          </w:tcPr>
          <w:p>
            <w:pPr>
              <w:jc w:val="left"/>
            </w:pPr>
            <w:r/>
            <w:r>
              <w:rPr>
                <w:rFonts w:ascii="IBM Plex Sans" w:hAnsi="IBM Plex Sans"/>
                <w:sz w:val="18"/>
              </w:rPr>
              <w:t xml:space="preserve">Sin ningún control del telar. Se actualiza sola cada 15 segundos.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el ingreso con «Soy cliente: ver mi tejido» y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dibujo de su cinta de papel perforada. El sistema todavía no comanda las cuatro bobinas de selección: el 17/10/2026 se probó en la máquina el primer canal, en protoboard, y seleccionó bien, y se están haciendo las plaquetas para conectar los cuatro.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y su alimentación ya se midió (entre 15 y 30 V, el 17/10/2026). Faltan los otros tres canales, las plaquetas soldadas y la instalación del gabinete.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y el 17/10/2026 se conectó y se calibró en la máquina, donde cuenta las pasadas. Hasta que se valide su conteo contra el contador mecánico del telar y se instale el Nivel 2,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de 470 Ω 3 W (el lector se alimenta con 15 a 30 V)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el 20/10/2026 se sumaron el modo solo sensado y la vista para los clientes.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y la instalación siguen en la Etapa 07, donde el 17/10/2026 se midió el lector y se probó en la máquina el primer canal).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$31.844.539 según las tarifas del proyecto, el costo total asciende a $32.076.353. Aplicando el margen del 25 % previsto, el presupuesto final es de $40.095.441, con una ganancia proyectada de $8.019.088.</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Después de medir (medido el 17/10)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(faltan dos precios de la lista)</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hecha el 17/10/2026 (entre 15 y 30 V); y (3) lo que falta de los Bloques C y D (el sensor ya se compró y el relé LCA110 se probó en la máquina), con la resistencia de protección de 470 Ω 3 W que fijó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