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w:t>
      </w:r>
      <w:r>
        <w:t xml:space="preserv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Cuatro relés OptoMOS LCA110 de IXYS, uno por lector óptico.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Sobre el encapsulado: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spacing w:after="130" w:before="260"/>
      </w:pPr>
      <w:r>
        <w:rPr>
          <w:rFonts w:ascii="Questrial" w:cs="Questrial" w:eastAsia="Questrial" w:hAnsi="Questrial"/>
          <w:b/>
          <w:bCs/>
          <w:color w:val="1E3A5F"/>
          <w:sz w:val="24"/>
          <w:szCs w:val="24"/>
        </w:rPr>
        <w:t xml:space="preserve">Los pasos</w:t>
      </w:r>
    </w:p>
    <w:p>
      <w:pPr>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spacing w:after="130" w:before="340"/>
      </w:pPr>
      <w:r>
        <w:rPr>
          <w:rFonts w:ascii="Questrial" w:cs="Questrial" w:eastAsia="Questrial" w:hAnsi="Questrial"/>
          <w:b/>
          <w:bCs/>
          <w:color w:val="1E3A5F"/>
          <w:sz w:val="29"/>
          <w:szCs w:val="29"/>
        </w:rPr>
        <w:t xml:space="preserve">Orden recomendado</w:t>
      </w:r>
    </w:p>
    <w:p>
      <w:pPr>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