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($32.076.353,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$32.076.353</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$8.019.088</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$40.095.441 / $8.019.088</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($73.653),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5.9)</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($40.095.441), no contra el costo puro: la diferencia entre ambos ($8.019.088)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 condicionado a que la medición del telar (tarea 5.9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 (instalado y probado en el telar el 19/09/2026).</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(44,7% Hardware / 55,3% Software, la del personal asignado directamente). Los componentes electrónicos ($122.139)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$14.401.855</w:t>
            </w:r>
          </w:p>
        </w:tc>
        <w:tc>
          <w:tcPr>
            <w:tcW w:type="dxa" w:w="2500"/>
            <w:vAlign w:val="center"/>
          </w:tcPr>
          <w:p>
            <w:r>
              <w:rPr>
                <w:b w:val="false"/>
                <w:bCs w:val="false"/>
                <w:color w:val="000000"/>
                <w:sz w:val="19"/>
                <w:szCs w:val="19"/>
              </w:rPr>
              <w:t xml:space="preserve">$18.002.318</w:t>
            </w:r>
          </w:p>
        </w:tc>
        <w:tc>
          <w:tcPr>
            <w:tcW w:type="dxa" w:w="1000"/>
            <w:vAlign w:val="center"/>
          </w:tcPr>
          <w:p>
            <w:r>
              <w:rPr>
                <w:b w:val="false"/>
                <w:bCs w:val="false"/>
                <w:color w:val="000000"/>
                <w:sz w:val="19"/>
                <w:szCs w:val="19"/>
              </w:rPr>
              <w:t xml:space="preserve">44,9%</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$17.674.498</w:t>
            </w:r>
          </w:p>
        </w:tc>
        <w:tc>
          <w:tcPr>
            <w:tcW w:type="dxa" w:w="2500"/>
            <w:vAlign w:val="center"/>
          </w:tcPr>
          <w:p>
            <w:r>
              <w:rPr>
                <w:b w:val="false"/>
                <w:bCs w:val="false"/>
                <w:color w:val="000000"/>
                <w:sz w:val="19"/>
                <w:szCs w:val="19"/>
              </w:rPr>
              <w:t xml:space="preserve">$22.093.123</w:t>
            </w:r>
          </w:p>
        </w:tc>
        <w:tc>
          <w:tcPr>
            <w:tcW w:type="dxa" w:w="1000"/>
            <w:vAlign w:val="center"/>
          </w:tcPr>
          <w:p>
            <w:r>
              <w:rPr>
                <w:b w:val="false"/>
                <w:bCs w:val="false"/>
                <w:color w:val="000000"/>
                <w:sz w:val="19"/>
                <w:szCs w:val="19"/>
              </w:rPr>
              <w:t xml:space="preserve">55,1%</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$32.076.353</w:t>
            </w:r>
          </w:p>
        </w:tc>
        <w:tc>
          <w:tcPr>
            <w:tcW w:type="dxa" w:w="2500"/>
            <w:shd w:fill="D9E1F2" w:val="clear"/>
            <w:vAlign w:val="center"/>
          </w:tcPr>
          <w:p>
            <w:r>
              <w:rPr>
                <w:b/>
                <w:bCs/>
                <w:color w:val="000000"/>
                <w:sz w:val="19"/>
                <w:szCs w:val="19"/>
              </w:rPr>
              <w:t xml:space="preserve">$40.095.441</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($40.095.441).</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$8.019.088 sobre un presupuesto final de $40.095.441. La garantía del sistema entregado queda fijada entre 1 y 3 meses desde la aceptación, cubriendo soporte de software/firmware sin costo adicional durante ese período. Además del paquete combinado, el equipo tiene la opción de vender Hardware ($18.002.318) y Software ($22.093.123)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