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se está armando la plaqueta para la prueba en la máquina. Antes de conectar los relés hay que medir en el telar la alimentación y la señal de un lector óptico (ver Guía de mediciones y verificaciones): la alimentación define la resistencia de protección de cada canal.</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La huella se lee con el dedo descubierto, sin guante.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Sesión iniciada, dibujo en edición y accesos a las funciones principales (el estado del telar se ve en el Editor).</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por nombre.</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En las dos paletas, el texto principal y el color de acento superan la relación AAA (7:1); el texto tenue cumple la AA (4,5:1).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 desarrollo (Etapa 05)</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(220 Ω 2 W o 470 Ω 3 W)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160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alimentación (220 V → 5 V), cableado ESP32↔relés, firmware en C++ y prueba integral de Marcha, Pausa y Retroceder en el telar real (hecha el 19/09/2026).</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18/10/2026,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con la plaqueta en armado y la medición del lector pendiente).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5.9)</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e instalado en el telar; (2) la medición del lector óptico en el telar; y (3) lo que falta de los Bloques C y D (el sensor ya se compró y el relé LCA110 se probó en protoboard), cuya resistencia de protección depende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 el hilado cargado en la ficha del dibujo (peso y metros que alcanza a tejer), el sistema ya muestra lo usado, lo que queda y los metros que faltan. Lo que sigue es que avise solo antes de que se termine y que lleve también la urdimbre, que hoy se estima a ojo.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18/10/2026.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