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137,65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$6.612.362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51,73</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$2.816.311</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68,97</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$3.754.899</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101,12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$5.181.389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50,85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$2.605.554</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38,72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$1.984.013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16,57</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$849.047</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$1.210.545</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$31.325.190</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Recién después de medir el telar (tarea 5.9)</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$31.325.190</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$31.557.004</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$7.889.251</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$39.446.255</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$31.557.004 de costo total, el 99,3% ($31.325.190) es costo de personal y apenas el 0,7% restante ($231.814, materiales y gastos operativos) es dinero que el equipo realmente va a desembolsar (componentes + gastos varios). Esto no es un error de cálculo: la tarifa de personal es un valor de referencia de mercado para un profesional junior, aplicado a las 633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(99,3%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$37.600.000 (y el presupuesto final con margen a cerca de $47.300.000),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$31.557.004 (personal + componentes + gastos varios), se aplica un margen del 25%, lo que deja una ganancia proyectada de $7.889.251 sobre un presupuesto final de $39.446.255.</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después de medir el lector óptico.</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($39.446.255 con margen),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$31.557.004, compuesto casi en su totalidad (99,3%) por el valor del trabajo del equipo y solo marginalmente (0,7%, $231.814) por dinero que realmente hay que desembolsar en componentes y gastos operativos. Con el margen del 25% ya usado en la plantilla original, el presupuesto final asciende a $39.446.255, dejando una ganancia proyectada de $7.889.251.</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