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($31.557.004,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$31.557.004</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$7.889.251</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$39.446.255 / $7.889.251</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($73.653),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5.9)</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($39.446.255), no contra el costo puro: la diferencia entre ambos ($7.889.251)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 condicionado a que la medición del telar (tarea 5.9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 (instalado y probado en el telar el 19/09/2026).</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(45,3% Hardware / 54,7% Software, la del personal asignado directamente). Los componentes electrónicos ($122.139)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$14.357.101</w:t>
            </w:r>
          </w:p>
        </w:tc>
        <w:tc>
          <w:tcPr>
            <w:tcW w:type="dxa" w:w="2500"/>
            <w:vAlign w:val="center"/>
          </w:tcPr>
          <w:p>
            <w:r>
              <w:rPr>
                <w:b w:val="false"/>
                <w:bCs w:val="false"/>
                <w:color w:val="000000"/>
                <w:sz w:val="19"/>
                <w:szCs w:val="19"/>
              </w:rPr>
              <w:t xml:space="preserve">$17.946.376</w:t>
            </w:r>
          </w:p>
        </w:tc>
        <w:tc>
          <w:tcPr>
            <w:tcW w:type="dxa" w:w="1000"/>
            <w:vAlign w:val="center"/>
          </w:tcPr>
          <w:p>
            <w:r>
              <w:rPr>
                <w:b w:val="false"/>
                <w:bCs w:val="false"/>
                <w:color w:val="000000"/>
                <w:sz w:val="19"/>
                <w:szCs w:val="19"/>
              </w:rPr>
              <w:t xml:space="preserve">45,5%</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$17.199.903</w:t>
            </w:r>
          </w:p>
        </w:tc>
        <w:tc>
          <w:tcPr>
            <w:tcW w:type="dxa" w:w="2500"/>
            <w:vAlign w:val="center"/>
          </w:tcPr>
          <w:p>
            <w:r>
              <w:rPr>
                <w:b w:val="false"/>
                <w:bCs w:val="false"/>
                <w:color w:val="000000"/>
                <w:sz w:val="19"/>
                <w:szCs w:val="19"/>
              </w:rPr>
              <w:t xml:space="preserve">$21.499.879</w:t>
            </w:r>
          </w:p>
        </w:tc>
        <w:tc>
          <w:tcPr>
            <w:tcW w:type="dxa" w:w="1000"/>
            <w:vAlign w:val="center"/>
          </w:tcPr>
          <w:p>
            <w:r>
              <w:rPr>
                <w:b w:val="false"/>
                <w:bCs w:val="false"/>
                <w:color w:val="000000"/>
                <w:sz w:val="19"/>
                <w:szCs w:val="19"/>
              </w:rPr>
              <w:t xml:space="preserve">54,5%</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$31.557.004</w:t>
            </w:r>
          </w:p>
        </w:tc>
        <w:tc>
          <w:tcPr>
            <w:tcW w:type="dxa" w:w="2500"/>
            <w:shd w:fill="D9E1F2" w:val="clear"/>
            <w:vAlign w:val="center"/>
          </w:tcPr>
          <w:p>
            <w:r>
              <w:rPr>
                <w:b/>
                <w:bCs/>
                <w:color w:val="000000"/>
                <w:sz w:val="19"/>
                <w:szCs w:val="19"/>
              </w:rPr>
              <w:t xml:space="preserve">$39.446.255</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($39.446.255).</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$7.889.251 sobre un presupuesto final de $39.446.255. La garantía del sistema entregado queda fijada entre 1 y 3 meses desde la aceptación, cubriendo soporte de software/firmware sin costo adicional durante ese período. Además del paquete combinado, el equipo tiene la opción de vender Hardware ($17.946.376) y Software ($21.499.879)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