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los botones de Marcha, Pausa y Retroceder mediante relés optoacoplados conectados en paralelo a la botonera física existente. La sincronización y el conteo de pasadas se ejecutan a través de un sensor inductivo/óptico montado sobre la estructura mecánica.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mediciones y verificaciones) para confirmar la señal de cada lector óptico antes de conectar los relés.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pasada; celda 1 = la bobina se activa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con el telar dibujado arriba (con las bobinas de trama en sus colores), junto con las instrucciones de tejido;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los relés LCA110 del Nivel 2.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