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B72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0" w:line="300" w:lineRule="auto"/>
        <w:textAlignment w:val="auto"/>
      </w:pPr>
    </w:p>
    <w:p w14:paraId="4FDC3A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</w:pPr>
      <w:r>
        <w:rPr>
          <w:rFonts w:ascii="微软雅黑" w:hAnsi="微软雅黑" w:eastAsia="微软雅黑" w:cs="微软雅黑"/>
          <w:b/>
          <w:bCs/>
          <w:color w:val="2B5797"/>
          <w:sz w:val="52"/>
          <w:szCs w:val="52"/>
        </w:rPr>
        <w:t>电商用户行为分析</w:t>
      </w:r>
    </w:p>
    <w:p w14:paraId="6B5D7D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0" w:line="300" w:lineRule="auto"/>
        <w:jc w:val="center"/>
        <w:textAlignment w:val="auto"/>
      </w:pPr>
      <w:r>
        <w:rPr>
          <w:rFonts w:ascii="微软雅黑" w:hAnsi="微软雅黑" w:eastAsia="微软雅黑" w:cs="微软雅黑"/>
          <w:color w:val="AAAAAA"/>
          <w:sz w:val="28"/>
          <w:szCs w:val="28"/>
        </w:rPr>
        <w:t>PROJECT REPORT</w:t>
      </w:r>
    </w:p>
    <w:p w14:paraId="5EEDB8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</w:pPr>
      <w:r>
        <w:rPr>
          <w:rFonts w:ascii="微软雅黑" w:hAnsi="微软雅黑" w:eastAsia="微软雅黑" w:cs="微软雅黑"/>
          <w:color w:val="2B5797"/>
          <w:sz w:val="16"/>
          <w:szCs w:val="16"/>
        </w:rPr>
        <w:t>━━━━━━━━━━━━━━━━━━━━━━━━━━━━━━</w:t>
      </w:r>
    </w:p>
    <w:p w14:paraId="3C4136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80" w:line="300" w:lineRule="auto"/>
        <w:jc w:val="center"/>
        <w:textAlignment w:val="auto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基于SQL的电商平台用户访问、转化与留存分析</w:t>
      </w:r>
    </w:p>
    <w:p w14:paraId="2E88F4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0" w:line="300" w:lineRule="auto"/>
        <w:jc w:val="center"/>
        <w:textAlignment w:val="auto"/>
      </w:pPr>
      <w:r>
        <w:rPr>
          <w:rFonts w:ascii="微软雅黑" w:hAnsi="微软雅黑" w:eastAsia="微软雅黑" w:cs="微软雅黑"/>
          <w:color w:val="888888"/>
          <w:sz w:val="22"/>
          <w:szCs w:val="22"/>
        </w:rPr>
        <w:t>2026年5月</w:t>
      </w:r>
    </w:p>
    <w:p w14:paraId="76C714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br w:type="page"/>
      </w:r>
    </w:p>
    <w:p w14:paraId="3011C36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一、项目背景</w:t>
      </w:r>
    </w:p>
    <w:p w14:paraId="42764A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随着电商行业竞争持续加剧，精细化运营已成为提升平台GMV的关键驱动力。用户从首次访问到最终下单的过程中存在大量流失环节，如何精准识别转化瓶颈、有效提升用户留存和复购率，是运营团队亟需解决的核心问题。</w:t>
      </w:r>
    </w:p>
    <w:p w14:paraId="06F8A2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本项目基于某品牌线上店铺的用户行为数据，运用SQL进行数据清洗、指标计算和多维度交叉分析，旨在通过数据驱动的方式揭示用户行为规律，为运营决策提供可靠的量化依据。</w:t>
      </w:r>
    </w:p>
    <w:p w14:paraId="6A2AF5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本次分析聚焦于三大核心方向：</w:t>
      </w:r>
    </w:p>
    <w:p w14:paraId="25CDFAE7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用户来源渠道效果评估——识别高价值流量来源</w:t>
      </w:r>
    </w:p>
    <w:p w14:paraId="624683CA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全链路转化漏斗诊断——定位关键流失环节</w:t>
      </w:r>
    </w:p>
    <w:p w14:paraId="46CB90BB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新老用户行为差异与留存价值挖掘——优化用户生命周期管理</w:t>
      </w:r>
    </w:p>
    <w:p w14:paraId="5FC08FD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二、数据说明</w:t>
      </w:r>
    </w:p>
    <w:p w14:paraId="56F6DE7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2.1 数据来源</w:t>
      </w:r>
    </w:p>
    <w:p w14:paraId="4AC36B9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数据来自某品牌线上电商平台的用户访问记录，涵盖用户基本信息、访问行为路径及下单情况，共计约100,000条用户记录。数据时间范围覆盖平台一个完整运营周期。</w:t>
      </w:r>
    </w:p>
    <w:p w14:paraId="05B12BD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2.2 字段说明</w:t>
      </w:r>
    </w:p>
    <w:p w14:paraId="40C895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原始数据共包含14个字段，具体含义如下：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8"/>
        <w:gridCol w:w="2000"/>
        <w:gridCol w:w="4200"/>
      </w:tblGrid>
      <w:tr w14:paraId="3884C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42F4C0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字段名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6075C7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69B3FB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165C6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C1C5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user_id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CC0C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用户ID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486EE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唯一标识每位用户</w:t>
            </w:r>
          </w:p>
        </w:tc>
      </w:tr>
      <w:tr w14:paraId="0F494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163B9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new_user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65F7E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是否新用户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750BB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1=新用户，0=老用户</w:t>
            </w:r>
          </w:p>
        </w:tc>
      </w:tr>
      <w:tr w14:paraId="3ACB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BC55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age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38D5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用户年龄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3C33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数值型，连续变量</w:t>
            </w:r>
          </w:p>
        </w:tc>
      </w:tr>
      <w:tr w14:paraId="7D7D9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1B8F4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sex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0E0FA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用户性别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0615D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分类字段</w:t>
            </w:r>
          </w:p>
        </w:tc>
      </w:tr>
      <w:tr w14:paraId="58FF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38911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market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BB93D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市场级别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7C1B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用户所在城市的市场等级划分</w:t>
            </w:r>
          </w:p>
        </w:tc>
      </w:tr>
      <w:tr w14:paraId="63A15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0503A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device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3AAB7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用户设备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BB23D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PC / Mobile等设备类型</w:t>
            </w:r>
          </w:p>
        </w:tc>
      </w:tr>
      <w:tr w14:paraId="06A79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D6242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operative_system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5259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操作系统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4AC6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Windows / iOS / Android等</w:t>
            </w:r>
          </w:p>
        </w:tc>
      </w:tr>
      <w:tr w14:paraId="42A0C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BBD80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source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61B2C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流量来源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D01C2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SEO / Direct / Ads等渠道</w:t>
            </w:r>
          </w:p>
        </w:tc>
      </w:tr>
      <w:tr w14:paraId="279D7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83116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total_pages_visited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4531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浏览页面总数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562C1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用户本次访问的页面浏览量</w:t>
            </w:r>
          </w:p>
        </w:tc>
      </w:tr>
      <w:tr w14:paraId="5C72F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09305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home_page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633DA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浏览主页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8F2C9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1=浏览过，0=未浏览</w:t>
            </w:r>
          </w:p>
        </w:tc>
      </w:tr>
      <w:tr w14:paraId="7B76D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10DD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listing_page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C24F8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浏览列表页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F4369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1=浏览过，0=未浏览</w:t>
            </w:r>
          </w:p>
        </w:tc>
      </w:tr>
      <w:tr w14:paraId="05D5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A3955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product_page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9B8E3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浏览产品详情页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DF471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1=浏览过，0=未浏览</w:t>
            </w:r>
          </w:p>
        </w:tc>
      </w:tr>
      <w:tr w14:paraId="123A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F455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payment_page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900D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浏览支付页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7503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1=浏览过，0=未浏览</w:t>
            </w:r>
          </w:p>
        </w:tc>
      </w:tr>
      <w:tr w14:paraId="03F69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0A751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payment_confirmation_page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D339D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确认支付完成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C1E70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1=已完成支付，0=未完成</w:t>
            </w:r>
          </w:p>
        </w:tc>
      </w:tr>
    </w:tbl>
    <w:p w14:paraId="7D08002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300" w:lineRule="auto"/>
        <w:textAlignment w:val="auto"/>
      </w:pPr>
      <w:r>
        <w:t>2.3 数据处理</w:t>
      </w:r>
    </w:p>
    <w:p w14:paraId="72EE127D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数据清洗：删除重复记录，处理缺失值和异常值，确保分析基础可靠</w:t>
      </w:r>
    </w:p>
    <w:p w14:paraId="6E9EF5BF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字段理解：页面浏览字段均为0/1标记，表示用户是否到达该环节，可直接用于构建转化漏斗</w:t>
      </w:r>
    </w:p>
    <w:p w14:paraId="7D5BCA55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分群基础：new_user字段为新老用户分群分析提供了天然标识</w:t>
      </w:r>
    </w:p>
    <w:p w14:paraId="784D5A0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三、分析目标</w:t>
      </w:r>
    </w:p>
    <w:p w14:paraId="30E811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本项目围绕以下五个核心问题展开分析：</w:t>
      </w:r>
    </w:p>
    <w:p w14:paraId="58CE08FD"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流量规模与用户基础：</w:t>
      </w:r>
      <w:r>
        <w:rPr>
          <w:rFonts w:ascii="微软雅黑" w:hAnsi="微软雅黑" w:eastAsia="微软雅黑" w:cs="微软雅黑"/>
          <w:sz w:val="22"/>
          <w:szCs w:val="22"/>
        </w:rPr>
        <w:t>平台的访问量、用户量、下单人数等基础指标表现如何？用户基本盘是否稳固？</w:t>
      </w:r>
    </w:p>
    <w:p w14:paraId="2D3033D7"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全链路转化诊断：</w:t>
      </w:r>
      <w:r>
        <w:rPr>
          <w:rFonts w:ascii="微软雅黑" w:hAnsi="微软雅黑" w:eastAsia="微软雅黑" w:cs="微软雅黑"/>
          <w:sz w:val="22"/>
          <w:szCs w:val="22"/>
        </w:rPr>
        <w:t>从主页→列表页→详情页→支付页→确认支付，各环节转化率如何？哪个环节流失最严重？</w:t>
      </w:r>
    </w:p>
    <w:p w14:paraId="54A99758"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用户来源分析：</w:t>
      </w:r>
      <w:r>
        <w:rPr>
          <w:rFonts w:ascii="微软雅黑" w:hAnsi="微软雅黑" w:eastAsia="微软雅黑" w:cs="微软雅黑"/>
          <w:sz w:val="22"/>
          <w:szCs w:val="22"/>
        </w:rPr>
        <w:t>不同流量来源（SEO、Direct、Ads等）的用户规模和转化效果如何？哪个渠道ROI最高？</w:t>
      </w:r>
    </w:p>
    <w:p w14:paraId="2BF77A78"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新老用户对比：</w:t>
      </w:r>
      <w:r>
        <w:rPr>
          <w:rFonts w:ascii="微软雅黑" w:hAnsi="微软雅黑" w:eastAsia="微软雅黑" w:cs="微软雅黑"/>
          <w:sz w:val="22"/>
          <w:szCs w:val="22"/>
        </w:rPr>
        <w:t>新老用户在访问深度、转化率和下单意愿上有何差异？应采取差异化还是统一运营策略？</w:t>
      </w:r>
    </w:p>
    <w:p w14:paraId="389D3C95">
      <w:pPr>
        <w:pStyle w:val="16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用户留存与复购：</w:t>
      </w:r>
      <w:r>
        <w:rPr>
          <w:rFonts w:ascii="微软雅黑" w:hAnsi="微软雅黑" w:eastAsia="微软雅黑" w:cs="微软雅黑"/>
          <w:sz w:val="22"/>
          <w:szCs w:val="22"/>
        </w:rPr>
        <w:t>老用户的下单数和复购率表现如何？如何最大化用户生命周期价值？</w:t>
      </w:r>
    </w:p>
    <w:p w14:paraId="11EBBD9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四、指标设计</w:t>
      </w:r>
    </w:p>
    <w:p w14:paraId="4985A1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根据分析目标，设计以下分层指标体系：</w:t>
      </w:r>
    </w:p>
    <w:p w14:paraId="0426A76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4.1 流量与用户基础指标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00"/>
        <w:gridCol w:w="3200"/>
      </w:tblGrid>
      <w:tr w14:paraId="7931F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61E1D5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指标名称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782ABF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计算方式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609EF4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业务含义</w:t>
            </w:r>
          </w:p>
        </w:tc>
      </w:tr>
      <w:tr w14:paraId="0EF09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75E58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总访问量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108A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COUNT(用户记录)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05A70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平台流量规模</w:t>
            </w:r>
          </w:p>
        </w:tc>
      </w:tr>
      <w:tr w14:paraId="655F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671FD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独立用户数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7BADF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COUNT(DISTINCT user_id)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8F6ED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去重后的真实用户规模</w:t>
            </w:r>
          </w:p>
        </w:tc>
      </w:tr>
      <w:tr w14:paraId="6AF1F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CBE4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总下单人数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EE10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COUNT(确认支付=1)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014A4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实际完成购买的用户数</w:t>
            </w:r>
          </w:p>
        </w:tc>
      </w:tr>
      <w:tr w14:paraId="3E0AD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5ECE5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人均浏览页数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98DAB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AVG(total_pages_visited)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87C74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用户访问深度</w:t>
            </w:r>
          </w:p>
        </w:tc>
      </w:tr>
    </w:tbl>
    <w:p w14:paraId="30D9040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300" w:lineRule="auto"/>
        <w:textAlignment w:val="auto"/>
      </w:pPr>
      <w:r>
        <w:t>4.2 转化漏斗指标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024A4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62A71D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指标名称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40BD90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计算方式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4E9349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业务含义</w:t>
            </w:r>
          </w:p>
        </w:tc>
      </w:tr>
      <w:tr w14:paraId="5D69A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747F6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主页→列表页转化率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B7BEF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listing_page人数 / home_page人数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9270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首页到商品列表的引导效果</w:t>
            </w:r>
          </w:p>
        </w:tc>
      </w:tr>
      <w:tr w14:paraId="029F4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3F5A44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列表页→详情页转化率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7222B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product_page人数 / listing_page人数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469BA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商品列表的点击吸引力</w:t>
            </w:r>
          </w:p>
        </w:tc>
      </w:tr>
      <w:tr w14:paraId="70E98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71056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详情页→支付页转化率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E5318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payment_page人数 / product_page人数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3499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商品详情的购买转化力</w:t>
            </w:r>
          </w:p>
        </w:tc>
      </w:tr>
      <w:tr w14:paraId="3BFEF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4DDE4E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支付页→确认支付转化率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80C62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confirmation人数 / payment人数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A2BC1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支付环节的完成率</w:t>
            </w:r>
          </w:p>
        </w:tc>
      </w:tr>
      <w:tr w14:paraId="5FA22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48CE7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整体转化率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B275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confirmation人数 / home_page人数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4D18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从访问到购买的端到端转化</w:t>
            </w:r>
          </w:p>
        </w:tc>
      </w:tr>
    </w:tbl>
    <w:p w14:paraId="016F1E4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300" w:lineRule="auto"/>
        <w:textAlignment w:val="auto"/>
      </w:pPr>
      <w:r>
        <w:t>4.3 用户分群指标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5BF5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4A26E6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指标名称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281EA6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计算方式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091A20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业务含义</w:t>
            </w:r>
          </w:p>
        </w:tc>
      </w:tr>
      <w:tr w14:paraId="0C1AF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FC24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新用户占比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72E30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新用户数 / 总用户数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716C7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平台获客能力</w:t>
            </w:r>
          </w:p>
        </w:tc>
      </w:tr>
      <w:tr w14:paraId="70013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B48F6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老用户下单数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03269A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老用户中下单人数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9FD44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老用户的购买活跃度</w:t>
            </w:r>
          </w:p>
        </w:tc>
      </w:tr>
      <w:tr w14:paraId="2DA9B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D5AD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老用户复购率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2AA2A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多次下单老用户数 / 下单老用户总数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2842A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老用户留存与忠诚度</w:t>
            </w:r>
          </w:p>
        </w:tc>
      </w:tr>
      <w:tr w14:paraId="79526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D19C3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新/老用户转化率对比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6F820AD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分组计算各环节转化率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72689E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两类用户的购买意愿差异</w:t>
            </w:r>
          </w:p>
        </w:tc>
      </w:tr>
    </w:tbl>
    <w:p w14:paraId="3AC902E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line="300" w:lineRule="auto"/>
        <w:textAlignment w:val="auto"/>
      </w:pPr>
      <w:r>
        <w:t>4.4 来源渠道指标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5B3E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126FED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指标名称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46F271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计算方式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B5797"/>
            <w:vAlign w:val="center"/>
          </w:tcPr>
          <w:p w14:paraId="4C2E7C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60" w:after="60" w:line="300" w:lineRule="auto"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业务含义</w:t>
            </w:r>
          </w:p>
        </w:tc>
      </w:tr>
      <w:tr w14:paraId="40876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AC73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各渠道用户量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8861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GROUP BY source COUNT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0878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渠道流量贡献</w:t>
            </w:r>
          </w:p>
        </w:tc>
      </w:tr>
      <w:tr w14:paraId="0B54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141931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各渠道转化率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2AC75E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分组计算整体转化率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7FB"/>
            <w:vAlign w:val="center"/>
          </w:tcPr>
          <w:p w14:paraId="51F9A4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0" w:after="40" w:line="300" w:lineRule="auto"/>
              <w:ind w:left="80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渠道用户质量对比</w:t>
            </w:r>
          </w:p>
        </w:tc>
      </w:tr>
    </w:tbl>
    <w:p w14:paraId="2CDF1D6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五、图表展示</w:t>
      </w:r>
      <w:bookmarkStart w:id="0" w:name="_GoBack"/>
      <w:bookmarkEnd w:id="0"/>
    </w:p>
    <w:p w14:paraId="21AC44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以下图表展示了各维度的分析结果：</w:t>
      </w:r>
    </w:p>
    <w:p w14:paraId="114D37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jc w:val="center"/>
        <w:textAlignment w:val="auto"/>
      </w:pPr>
      <w:r>
        <w:rPr>
          <w:rFonts w:ascii="微软雅黑" w:hAnsi="微软雅黑" w:eastAsia="微软雅黑" w:cs="微软雅黑"/>
          <w:color w:val="999999"/>
          <w:sz w:val="22"/>
          <w:szCs w:val="22"/>
        </w:rPr>
        <w:t>【图1 用户来源渠道分布】</w:t>
      </w:r>
    </w:p>
    <w:p w14:paraId="1DFA6F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center"/>
        <w:textAlignment w:val="auto"/>
      </w:pPr>
      <w:r>
        <w:drawing>
          <wp:inline distT="0" distB="0" distL="114300" distR="114300">
            <wp:extent cx="4826000" cy="2743200"/>
            <wp:effectExtent l="4445" t="4445" r="15875" b="10795"/>
            <wp:docPr id="6" name="图表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AFEF5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center"/>
        <w:textAlignment w:val="auto"/>
      </w:pPr>
    </w:p>
    <w:p w14:paraId="1D8759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jc w:val="center"/>
        <w:textAlignment w:val="auto"/>
      </w:pPr>
      <w:r>
        <w:rPr>
          <w:rFonts w:ascii="微软雅黑" w:hAnsi="微软雅黑" w:eastAsia="微软雅黑" w:cs="微软雅黑"/>
          <w:color w:val="999999"/>
          <w:sz w:val="22"/>
          <w:szCs w:val="22"/>
        </w:rPr>
        <w:t>【图2 转化漏斗各环节转化率】</w:t>
      </w:r>
    </w:p>
    <w:p w14:paraId="4D551E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center"/>
        <w:textAlignment w:val="auto"/>
      </w:pPr>
      <w:r>
        <w:drawing>
          <wp:inline distT="0" distB="0" distL="114300" distR="114300">
            <wp:extent cx="4625340" cy="2743200"/>
            <wp:effectExtent l="4445" t="4445" r="18415" b="10795"/>
            <wp:docPr id="5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3E0DE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center"/>
        <w:textAlignment w:val="auto"/>
      </w:pPr>
    </w:p>
    <w:p w14:paraId="01BD8B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300" w:lineRule="auto"/>
        <w:jc w:val="center"/>
        <w:textAlignment w:val="auto"/>
      </w:pPr>
      <w:r>
        <w:rPr>
          <w:rFonts w:ascii="微软雅黑" w:hAnsi="微软雅黑" w:eastAsia="微软雅黑" w:cs="微软雅黑"/>
          <w:color w:val="999999"/>
          <w:sz w:val="22"/>
          <w:szCs w:val="22"/>
        </w:rPr>
        <w:t>【图3 新老用户下单对比】</w:t>
      </w:r>
    </w:p>
    <w:p w14:paraId="067C66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00" w:lineRule="auto"/>
        <w:jc w:val="center"/>
        <w:textAlignment w:val="auto"/>
      </w:pPr>
      <w:r>
        <w:drawing>
          <wp:inline distT="0" distB="0" distL="114300" distR="114300">
            <wp:extent cx="4625340" cy="2743200"/>
            <wp:effectExtent l="4445" t="4445" r="18415" b="10795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045344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六、结论与建议</w:t>
      </w:r>
    </w:p>
    <w:p w14:paraId="47D4CC4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6.1 流量基础扎实，自然流量占比高</w:t>
      </w:r>
    </w:p>
    <w:p w14:paraId="5384C7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平台整体流量规模可观，访问量近60万，独立用户数突破10万。其中85%的用户流量来源于自然搜索（SEO）和直接访问（Direct），表明品牌已积累较强的口碑效应和粉丝基础。</w:t>
      </w:r>
    </w:p>
    <w:p w14:paraId="56FAE7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建议：</w:t>
      </w:r>
      <w:r>
        <w:rPr>
          <w:rFonts w:ascii="微软雅黑" w:hAnsi="微软雅黑" w:eastAsia="微软雅黑" w:cs="微软雅黑"/>
          <w:sz w:val="22"/>
          <w:szCs w:val="22"/>
        </w:rPr>
        <w:t>继续打磨商品质量以稳固核心免费流量池；同时适度加大广告投放（Ads渠道占比不足15%），拓展增量用户来源。</w:t>
      </w:r>
    </w:p>
    <w:p w14:paraId="3FCDD78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6.2 转化漏斗存在两大瓶颈</w:t>
      </w:r>
    </w:p>
    <w:p w14:paraId="06B054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漏斗分析揭示两个关键流失环节：</w:t>
      </w:r>
    </w:p>
    <w:p w14:paraId="34288240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前端流失：主页浏览到列表页的转化率偏低，首页分发效率不足，用户未能被有效引导至商品列表</w:t>
      </w:r>
    </w:p>
    <w:p w14:paraId="1C41C0FD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后端流失：支付页到确认支付的转化率极低，"临门一脚"存在明显阻碍</w:t>
      </w:r>
    </w:p>
    <w:p w14:paraId="1986BA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建议：</w:t>
      </w:r>
      <w:r>
        <w:rPr>
          <w:rFonts w:ascii="微软雅黑" w:hAnsi="微软雅黑" w:eastAsia="微软雅黑" w:cs="微软雅黑"/>
          <w:sz w:val="22"/>
          <w:szCs w:val="22"/>
        </w:rPr>
        <w:t>针对前端——优化主页排版与动线设计，提升首页到商品列表的分发效率；针对后端——在支付页开展促销降价活动，增强价格竞争力，同时简化支付流程，降低支付门槛。</w:t>
      </w:r>
    </w:p>
    <w:p w14:paraId="49689DD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t>6.3 老用户忠诚度高，新客获取待突破</w:t>
      </w:r>
    </w:p>
    <w:p w14:paraId="6A0845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sz w:val="22"/>
          <w:szCs w:val="22"/>
        </w:rPr>
        <w:t>下单用户中老用户占比高达80%，品牌忠诚度极高，说明存量用户价值已被验证。但新客获取仍是短板，新老用户结构不够均衡。</w:t>
      </w:r>
    </w:p>
    <w:p w14:paraId="2D23D1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300" w:lineRule="auto"/>
        <w:textAlignment w:val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建议：</w:t>
      </w:r>
      <w:r>
        <w:rPr>
          <w:rFonts w:ascii="微软雅黑" w:hAnsi="微软雅黑" w:eastAsia="微软雅黑" w:cs="微软雅黑"/>
          <w:sz w:val="22"/>
          <w:szCs w:val="22"/>
        </w:rPr>
        <w:t>策划"老带新"专属活动，利用老用户的信用背书驱动社交裂变增长；同时为新用户设计首单优惠等激励策略，降低新客转化门槛。</w:t>
      </w:r>
    </w:p>
    <w:sectPr>
      <w:headerReference r:id="rId3" w:type="default"/>
      <w:footerReference r:id="rId4" w:type="default"/>
      <w:pgSz w:w="11906" w:h="16838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1F1110">
    <w:pPr>
      <w:jc w:val="center"/>
    </w:pPr>
    <w:r>
      <w:rPr>
        <w:color w:val="BBBBBB"/>
        <w:sz w:val="16"/>
        <w:szCs w:val="16"/>
      </w:rPr>
      <w:t xml:space="preserve">— </w:t>
    </w:r>
    <w:r>
      <w:rPr>
        <w:color w:val="BBBBBB"/>
        <w:sz w:val="16"/>
        <w:szCs w:val="16"/>
      </w:rPr>
      <w:fldChar w:fldCharType="begin"/>
    </w:r>
    <w:r>
      <w:rPr>
        <w:color w:val="BBBBBB"/>
        <w:sz w:val="16"/>
        <w:szCs w:val="16"/>
      </w:rPr>
      <w:instrText xml:space="preserve">PAGE</w:instrText>
    </w:r>
    <w:r>
      <w:rPr>
        <w:color w:val="BBBBBB"/>
        <w:sz w:val="16"/>
        <w:szCs w:val="16"/>
      </w:rPr>
      <w:fldChar w:fldCharType="separate"/>
    </w:r>
    <w:r>
      <w:rPr>
        <w:color w:val="BBBBBB"/>
        <w:sz w:val="16"/>
        <w:szCs w:val="16"/>
      </w:rPr>
      <w:fldChar w:fldCharType="end"/>
    </w:r>
    <w:r>
      <w:rPr>
        <w:color w:val="BBBBBB"/>
        <w:sz w:val="16"/>
        <w:szCs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754DF">
    <w:pPr>
      <w:jc w:val="right"/>
    </w:pPr>
    <w:r>
      <w:rPr>
        <w:rFonts w:ascii="微软雅黑" w:hAnsi="微软雅黑" w:eastAsia="微软雅黑" w:cs="微软雅黑"/>
        <w:color w:val="BBBBBB"/>
        <w:sz w:val="16"/>
        <w:szCs w:val="16"/>
      </w:rPr>
      <w:t>电商用户行为分析项目报告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2DD4B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color w:val="2B5797"/>
      <w:sz w:val="30"/>
      <w:szCs w:val="30"/>
    </w:rPr>
  </w:style>
  <w:style w:type="paragraph" w:styleId="3">
    <w:name w:val="heading 2"/>
    <w:next w:val="1"/>
    <w:qFormat/>
    <w:uiPriority w:val="0"/>
    <w:pPr>
      <w:spacing w:before="300" w:after="140"/>
      <w:outlineLvl w:val="1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uiPriority w:val="0"/>
    <w:pPr>
      <w:spacing w:before="0" w:after="100"/>
      <w:jc w:val="center"/>
    </w:pPr>
    <w:rPr>
      <w:rFonts w:ascii="微软雅黑" w:hAnsi="微软雅黑" w:eastAsia="微软雅黑" w:cs="微软雅黑"/>
      <w:b/>
      <w:bCs/>
      <w:color w:val="2B5797"/>
      <w:sz w:val="48"/>
      <w:szCs w:val="48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hart" Target="charts/chart3.xml"/><Relationship Id="rId7" Type="http://schemas.openxmlformats.org/officeDocument/2006/relationships/chart" Target="charts/chart2.xml"/><Relationship Id="rId6" Type="http://schemas.openxmlformats.org/officeDocument/2006/relationships/chart" Target="charts/chart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yc\Desktop\&#31532;&#19968;&#20010;&#39033;&#30446;\&#24037;&#20316;&#31807;1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C:\Users\yc\Desktop\&#31532;&#19968;&#20010;&#39033;&#30446;\&#24037;&#20316;&#31807;1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yc\Desktop\&#31532;&#19968;&#20010;&#39033;&#30446;\&#24037;&#20316;&#31807;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1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[工作簿1.xlsx]Sheet1!$R$3</c:f>
              <c:strCache>
                <c:ptCount val="1"/>
                <c:pt idx="0">
                  <c:v>数量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[工作簿1.xlsx]Sheet1!$Q$4:$Q$7</c:f>
              <c:strCache>
                <c:ptCount val="4"/>
                <c:pt idx="0">
                  <c:v>Ads</c:v>
                </c:pt>
                <c:pt idx="1">
                  <c:v>Direct</c:v>
                </c:pt>
                <c:pt idx="2">
                  <c:v>Seo</c:v>
                </c:pt>
                <c:pt idx="3">
                  <c:v>NULL</c:v>
                </c:pt>
              </c:strCache>
            </c:strRef>
          </c:cat>
          <c:val>
            <c:numRef>
              <c:f>[工作簿1.xlsx]Sheet1!$R$4:$R$7</c:f>
              <c:numCache>
                <c:formatCode>General</c:formatCode>
                <c:ptCount val="4"/>
                <c:pt idx="0">
                  <c:v>14852</c:v>
                </c:pt>
                <c:pt idx="1">
                  <c:v>56688</c:v>
                </c:pt>
                <c:pt idx="2">
                  <c:v>28337</c:v>
                </c:pt>
                <c:pt idx="3">
                  <c:v>123</c:v>
                </c:pt>
              </c:numCache>
            </c:numRef>
          </c:val>
        </c:ser>
        <c:ser>
          <c:idx val="1"/>
          <c:order val="1"/>
          <c:tx>
            <c:strRef>
              <c:f>[工作簿1.xlsx]Sheet1!$S$3</c:f>
              <c:strCache>
                <c:ptCount val="1"/>
                <c:pt idx="0">
                  <c:v>比率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1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[工作簿1.xlsx]Sheet1!$Q$4:$Q$7</c:f>
              <c:strCache>
                <c:ptCount val="4"/>
                <c:pt idx="0">
                  <c:v>Ads</c:v>
                </c:pt>
                <c:pt idx="1">
                  <c:v>Direct</c:v>
                </c:pt>
                <c:pt idx="2">
                  <c:v>Seo</c:v>
                </c:pt>
                <c:pt idx="3">
                  <c:v>NULL</c:v>
                </c:pt>
              </c:strCache>
            </c:strRef>
          </c:cat>
          <c:val>
            <c:numRef>
              <c:f>[工作簿1.xlsx]Sheet1!$S$4:$S$7</c:f>
              <c:numCache>
                <c:formatCode>0.00%</c:formatCode>
                <c:ptCount val="4"/>
                <c:pt idx="0">
                  <c:v>0.1485</c:v>
                </c:pt>
                <c:pt idx="1">
                  <c:v>0.5659</c:v>
                </c:pt>
                <c:pt idx="2">
                  <c:v>0.2834</c:v>
                </c:pt>
                <c:pt idx="3">
                  <c:v>0.0012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fc13e101-05f3-4c7a-860d-8f892ea7ba0d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各环节转化率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 algn="ctr"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[工作簿1.xlsx]Sheet1!$A$23:$A$26</c:f>
              <c:strCache>
                <c:ptCount val="4"/>
                <c:pt idx="0">
                  <c:v>列表页浏览</c:v>
                </c:pt>
                <c:pt idx="1">
                  <c:v>产品详情</c:v>
                </c:pt>
                <c:pt idx="2">
                  <c:v>开始支付</c:v>
                </c:pt>
                <c:pt idx="3">
                  <c:v>完成下单</c:v>
                </c:pt>
              </c:strCache>
            </c:strRef>
          </c:cat>
          <c:val>
            <c:numRef>
              <c:f>[工作簿1.xlsx]Sheet1!$B$23:$B$26</c:f>
              <c:numCache>
                <c:formatCode>0.00%</c:formatCode>
                <c:ptCount val="4"/>
                <c:pt idx="0">
                  <c:v>0.7389</c:v>
                </c:pt>
                <c:pt idx="1" c:formatCode="0%">
                  <c:v>1</c:v>
                </c:pt>
                <c:pt idx="2" c:formatCode="0%">
                  <c:v>1</c:v>
                </c:pt>
                <c:pt idx="3">
                  <c:v>0.0325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515423"/>
        <c:axId val="103512927"/>
      </c:barChart>
      <c:catAx>
        <c:axId val="1035154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03512927"/>
        <c:crosses val="autoZero"/>
        <c:auto val="1"/>
        <c:lblAlgn val="ctr"/>
        <c:lblOffset val="100"/>
        <c:noMultiLvlLbl val="0"/>
      </c:catAx>
      <c:valAx>
        <c:axId val="1035129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035154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bce0541-8e59-4168-88f8-c412f6ee950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下单用户对比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[工作簿1.xlsx]Sheet1!$A$1:$A$2</c:f>
              <c:strCache>
                <c:ptCount val="2"/>
                <c:pt idx="0">
                  <c:v>老用户</c:v>
                </c:pt>
                <c:pt idx="1">
                  <c:v>新用户</c:v>
                </c:pt>
              </c:strCache>
            </c:strRef>
          </c:cat>
          <c:val>
            <c:numRef>
              <c:f>[工作簿1.xlsx]Sheet1!$B$1:$B$2</c:f>
              <c:numCache>
                <c:formatCode>General</c:formatCode>
                <c:ptCount val="2"/>
                <c:pt idx="0">
                  <c:v>1941</c:v>
                </c:pt>
                <c:pt idx="1">
                  <c:v>463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6373f9f-bae4-4236-b258-7c24aa52fa7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623</Words>
  <Characters>800</Characters>
  <TotalTime>11</TotalTime>
  <ScaleCrop>false</ScaleCrop>
  <LinksUpToDate>false</LinksUpToDate>
  <CharactersWithSpaces>813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2026-05-17T08:11:00Z</dcterms:created>
  <dc:creator>Un-named</dc:creator>
  <cp:lastModifiedBy>WPS_1641022872</cp:lastModifiedBy>
  <dcterms:modified xsi:type="dcterms:W3CDTF">2026-05-17T08:25:24Z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eyJoZGlkIjoiNTA0NDc3MDNjMTFkNDBmOWJjNDBiMDIyZGJlMTAwMzciLCJ1c2VySWQiOiIxMzExOTgwMjk0In0=</vt:lpwstr>
  </property>
  <property fmtid="{D5CDD505-2E9C-101B-9397-08002B2CF9AE}" pid="3" name="KSOProductBuildVer">
    <vt:lpwstr>2052-12.1.0.20305</vt:lpwstr>
  </property>
  <property fmtid="{D5CDD505-2E9C-101B-9397-08002B2CF9AE}" pid="4" name="ICV">
    <vt:lpwstr>2D9644878AC548758697341183B0515F_12</vt:lpwstr>
  </property>
</Properties>
</file>