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F38C3" w14:textId="77777777" w:rsidR="00D66E1A" w:rsidRDefault="00D66E1A" w:rsidP="00D66E1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NOME: Roberto Gabriel Mangabeira Santana</w:t>
      </w:r>
    </w:p>
    <w:p w14:paraId="6F8183B4" w14:textId="77777777" w:rsidR="00D66E1A" w:rsidRDefault="00D66E1A" w:rsidP="00D66E1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MATRÍCULA: 190019620</w:t>
      </w:r>
    </w:p>
    <w:p w14:paraId="56A67BC3" w14:textId="77777777" w:rsidR="00D66E1A" w:rsidRDefault="00D66E1A" w:rsidP="00D66E1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DISCIPLINA: Engenharia e Ambiente</w:t>
      </w:r>
    </w:p>
    <w:p w14:paraId="4BE6CCEB" w14:textId="77777777" w:rsidR="00D66E1A" w:rsidRDefault="00D66E1A" w:rsidP="00D66E1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PROFESSOR: Fernando Paiva Scardua</w:t>
      </w:r>
    </w:p>
    <w:p w14:paraId="70502E7B" w14:textId="77777777" w:rsidR="00425305" w:rsidRDefault="00425305" w:rsidP="00D66E1A"/>
    <w:p w14:paraId="4F142017" w14:textId="77777777" w:rsidR="00D66E1A" w:rsidRDefault="00D66E1A" w:rsidP="00D66E1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PERGUNTA: Defina cadeia alimentar e seus dois tipos.</w:t>
      </w:r>
    </w:p>
    <w:p w14:paraId="521FF27D" w14:textId="77777777" w:rsidR="00D66E1A" w:rsidRDefault="00D66E1A" w:rsidP="00D66E1A">
      <w:pPr>
        <w:rPr>
          <w:rFonts w:ascii="Arial" w:hAnsi="Arial" w:cs="Arial"/>
          <w:sz w:val="24"/>
        </w:rPr>
      </w:pPr>
    </w:p>
    <w:p w14:paraId="2EA680F9" w14:textId="77777777" w:rsidR="00D66E1A" w:rsidRDefault="00D66E1A" w:rsidP="00D66E1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RESPOSTA: Cadeia alimentar pode ser definida como o caminho seguido pela energia no ecossistema, desde os vegetais fotossintetizantes até diversos organismos que deles se alimentam ou servem de alimento para outros. Existem dois tipos de cadeias: as que começam pelos vegetais vivos e passam pelos herbívoros e carnívoros; e as que se iniciam pelos detritos vegetais e animais e passam pelos detrívoros. (BRAGA, 2005).</w:t>
      </w:r>
    </w:p>
    <w:p w14:paraId="44AEA8F3" w14:textId="77777777" w:rsidR="00D66E1A" w:rsidRDefault="00D66E1A" w:rsidP="00D66E1A">
      <w:pPr>
        <w:rPr>
          <w:rFonts w:ascii="Arial" w:hAnsi="Arial" w:cs="Arial"/>
          <w:sz w:val="24"/>
        </w:rPr>
      </w:pPr>
    </w:p>
    <w:p w14:paraId="7B94399B" w14:textId="77777777" w:rsidR="00D66E1A" w:rsidRDefault="00D66E1A" w:rsidP="00D66E1A">
      <w:pPr>
        <w:rPr>
          <w:rFonts w:ascii="Arial" w:hAnsi="Arial" w:cs="Arial"/>
          <w:b/>
          <w:sz w:val="24"/>
        </w:rPr>
      </w:pPr>
    </w:p>
    <w:p w14:paraId="0072EC85" w14:textId="77777777" w:rsidR="00D66E1A" w:rsidRDefault="00D66E1A" w:rsidP="00D66E1A">
      <w:pPr>
        <w:rPr>
          <w:rFonts w:ascii="Arial" w:hAnsi="Arial" w:cs="Arial"/>
          <w:b/>
          <w:sz w:val="24"/>
        </w:rPr>
      </w:pPr>
    </w:p>
    <w:p w14:paraId="53E84B82" w14:textId="77777777" w:rsidR="00D66E1A" w:rsidRDefault="00D66E1A" w:rsidP="00D66E1A">
      <w:pPr>
        <w:rPr>
          <w:rFonts w:ascii="Arial" w:hAnsi="Arial" w:cs="Arial"/>
          <w:b/>
          <w:sz w:val="24"/>
        </w:rPr>
      </w:pPr>
    </w:p>
    <w:p w14:paraId="11A5A5FA" w14:textId="77777777" w:rsidR="00D66E1A" w:rsidRDefault="00D66E1A" w:rsidP="00D66E1A">
      <w:pPr>
        <w:rPr>
          <w:rFonts w:ascii="Arial" w:hAnsi="Arial" w:cs="Arial"/>
          <w:b/>
          <w:sz w:val="24"/>
        </w:rPr>
      </w:pPr>
      <w:bookmarkStart w:id="0" w:name="_GoBack"/>
      <w:r>
        <w:rPr>
          <w:rFonts w:ascii="Arial" w:hAnsi="Arial" w:cs="Arial"/>
          <w:b/>
          <w:sz w:val="24"/>
        </w:rPr>
        <w:t>Referências</w:t>
      </w:r>
    </w:p>
    <w:p w14:paraId="1ADD2E68" w14:textId="77777777" w:rsidR="00D66E1A" w:rsidRDefault="00D66E1A" w:rsidP="00D66E1A">
      <w:pPr>
        <w:rPr>
          <w:rFonts w:ascii="Arial" w:hAnsi="Arial" w:cs="Arial"/>
          <w:b/>
          <w:sz w:val="24"/>
        </w:rPr>
      </w:pPr>
    </w:p>
    <w:p w14:paraId="324A034E" w14:textId="77777777" w:rsidR="00D66E1A" w:rsidRPr="00D66E1A" w:rsidRDefault="00D66E1A" w:rsidP="00D66E1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BRAGA, B. et al. </w:t>
      </w:r>
      <w:r>
        <w:rPr>
          <w:rFonts w:ascii="Arial" w:hAnsi="Arial" w:cs="Arial"/>
          <w:b/>
          <w:sz w:val="24"/>
        </w:rPr>
        <w:t>Introdução à Engenharia Ambiental.</w:t>
      </w:r>
      <w:r>
        <w:rPr>
          <w:rFonts w:ascii="Arial" w:hAnsi="Arial" w:cs="Arial"/>
          <w:sz w:val="24"/>
        </w:rPr>
        <w:t xml:space="preserve"> São Paulo:Pearson. 2005. 14-20p.</w:t>
      </w:r>
      <w:bookmarkEnd w:id="0"/>
    </w:p>
    <w:sectPr w:rsidR="00D66E1A" w:rsidRPr="00D66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B1"/>
    <w:rsid w:val="001036B1"/>
    <w:rsid w:val="00425305"/>
    <w:rsid w:val="006C7279"/>
    <w:rsid w:val="00D6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B9120"/>
  <w15:chartTrackingRefBased/>
  <w15:docId w15:val="{46842AAE-F8A6-4CD5-AE15-C7FF3712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E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596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Carline Castro</dc:creator>
  <cp:keywords/>
  <dc:description/>
  <cp:lastModifiedBy>Carline Castro</cp:lastModifiedBy>
  <cp:revision>3</cp:revision>
  <dcterms:created xsi:type="dcterms:W3CDTF">2019-03-31T13:03:00Z</dcterms:created>
  <dcterms:modified xsi:type="dcterms:W3CDTF">2019-04-09T02:00:00Z</dcterms:modified>
</cp:coreProperties>
</file>