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8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rograma de Prevenção de Riscos Ambientais - PPRA e Programa de Controle Médico de Saúde Ocupacional - PCMSO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Rafael Cleydson da Silva Ramos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19/0019085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Turma 01A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Você como empregador deve explicar para seu funcionário, o que vem a ser o PPRA (Programa de Prevenção de Riscos Ambientais-NR9).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PPRA corresponde a um programa que tem como fins preservar a saúde e integridade dos trabalhadores, reconhecendo e avaliando, antecipadamente, os possíveis riscos ambientais, ele é um documento base que é cobrado junto às outras documentações quando há fiscalizações na empresa. Neste documento constam, obrigatoriamente,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planejamento anual com estabelecimento de metas, prioridades e cronograma; a estratégia e metodologia de ação; a forma do registro, manutenção e divulgação dos dados e  a periodicidade e forma de avaliação do desenvolvimento do PPRA. Cumprir o PPRA é uma forma de se alcançar o sucesso no programa de Prevenção.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Quais são os riscos ambientais considerados no âmbito do PPRA? Cite exemplos para cada um. 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De acordo com a NR 9, temos que: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onsideram-se riscos ambientais os agentes físicos, químicos e biológicos existentes nos ambientes de trabalho que, em função de sua natureza, concentração ou intensidade e tempo de exposição, são capazes de causar danos à saúde do trabalhador.</w:t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Exemplos;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Agentes físicos: vibrações; frio; calor; ruídos; pressões anormais; umidade, etc…</w:t>
      </w:r>
    </w:p>
    <w:p w:rsidR="00000000" w:rsidDel="00000000" w:rsidP="00000000" w:rsidRDefault="00000000" w:rsidRPr="00000000" w14:paraId="0000000F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Agentes químicos: vapores; neblinas; gases; névoas; poeiras; fumos, etc…</w:t>
      </w:r>
    </w:p>
    <w:p w:rsidR="00000000" w:rsidDel="00000000" w:rsidP="00000000" w:rsidRDefault="00000000" w:rsidRPr="00000000" w14:paraId="0000001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Agentes biológicos: bactérias; vírus; protozoários; fungos; parasitas e bacilos.</w:t>
      </w:r>
    </w:p>
    <w:p w:rsidR="00000000" w:rsidDel="00000000" w:rsidP="00000000" w:rsidRDefault="00000000" w:rsidRPr="00000000" w14:paraId="0000001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Quem deve elaborar o PPRA? Qual sua periodicidade? </w:t>
      </w:r>
    </w:p>
    <w:p w:rsidR="00000000" w:rsidDel="00000000" w:rsidP="00000000" w:rsidRDefault="00000000" w:rsidRPr="00000000" w14:paraId="00000013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ab/>
        <w:t xml:space="preserve">De acordo com a NR 9. </w:t>
      </w:r>
      <w:r w:rsidDel="00000000" w:rsidR="00000000" w:rsidRPr="00000000">
        <w:rPr>
          <w:highlight w:val="white"/>
          <w:rtl w:val="0"/>
        </w:rPr>
        <w:t xml:space="preserve">A elaboração, implementação, acompanhamento e avaliação do PPRA poderão ser feitas pelo Serviço Especializado em Engenharia de Segurança e em Medicina do Trabalho - SESMT ou por pessoa ou equipe de pessoas que, a critério do empregador, sejam capazes de desenvolver o disposto na NR 9.</w:t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elaboração e/ou revisão do PPRA deve ser feita sempre que necessário e pelo menos uma vez ao ano.</w:t>
      </w:r>
    </w:p>
    <w:p w:rsidR="00000000" w:rsidDel="00000000" w:rsidP="00000000" w:rsidRDefault="00000000" w:rsidRPr="00000000" w14:paraId="0000001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Quais as etapas do PPRA?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Etapas retiradas do tópico 9.3.1 da NR 9 - </w:t>
      </w:r>
      <w:r w:rsidDel="00000000" w:rsidR="00000000" w:rsidRPr="00000000">
        <w:rPr>
          <w:highlight w:val="white"/>
          <w:rtl w:val="0"/>
        </w:rPr>
        <w:t xml:space="preserve">PROGRAMA DE PREVENÇÃO DE RISCOS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Programa de Prevenção de Riscos Ambientais deverá incluir as seguintes etapas: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Antecipação e reconhecimentos dos riscos : análise de novos projetos e identificação dos riscos.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Estabelecimento de prioridades e metas de avaliação e controle: estabelecidas em função do grau de exposição em que se encontra o trabalhador.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Avaliação dos riscos e da exposição dos trabalhadores: verifica a existência e define medidas de controle.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Implantação de medidas de controle e avaliação de sua eficácia: previne os riscos ambientais a partir da implementação dessas medidas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Monitoramento da exposição aos riscos: verificar se as medidas de controle funcionam e devem, ou não, ser alteradas.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Registro e divulgação dos dados: histórico técnico e administrativo que deve estar sob controle do empregador.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Quem deve ser elaborado primeiro: o PPRA ou o PCMSO (Programa de Controle Médico de Saúde Ocupacional-NR7)?</w:t>
      </w:r>
    </w:p>
    <w:p w:rsidR="00000000" w:rsidDel="00000000" w:rsidP="00000000" w:rsidRDefault="00000000" w:rsidRPr="00000000" w14:paraId="00000026">
      <w:pPr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202124"/>
          <w:highlight w:val="white"/>
          <w:rtl w:val="0"/>
        </w:rPr>
        <w:t xml:space="preserve">O</w:t>
      </w:r>
      <w:r w:rsidDel="00000000" w:rsidR="00000000" w:rsidRPr="00000000">
        <w:rPr>
          <w:color w:val="202124"/>
          <w:highlight w:val="white"/>
          <w:rtl w:val="0"/>
        </w:rPr>
        <w:t xml:space="preserve"> PPRA realiza o levantamento de riscos e propõe medidas de controle, logo, ele servirá de base para a elaboração e a implementação do PCMSO. Portanto, primeiro elabora-se o PPRA para depois elaborar o PCMSO.</w:t>
      </w:r>
    </w:p>
    <w:p w:rsidR="00000000" w:rsidDel="00000000" w:rsidP="00000000" w:rsidRDefault="00000000" w:rsidRPr="00000000" w14:paraId="00000027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 Quais exames médicos são obrigatórios no âmbito da PCMSO? Há custos para o empregado?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São 5 os exames obrigatórios para o PCMSO;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a) admissional;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b) periódico;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c) de retorno ao trabalho;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d) de mudança de função;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e) demissional.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Estes exames compreendem avaliação clínica, abrangendo anamnese ocupacional e exame físico e mental e exames complementares, realizados de acordo com os termos específicos na NR 7 </w:t>
      </w:r>
      <w:r w:rsidDel="00000000" w:rsidR="00000000" w:rsidRPr="00000000">
        <w:rPr>
          <w:sz w:val="21"/>
          <w:szCs w:val="21"/>
          <w:rtl w:val="0"/>
        </w:rPr>
        <w:t xml:space="preserve">Programa de Controle Médico de Saúde Ocupacional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Os custos são todos arcados pelo empregador, ou seja, o empregado deve receber ressarcimento pelos custos adquiridos por algum exame.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 Como se faz a comprovação da realização dos exames médicos ocupacionais?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De acordo com a NR 7,</w:t>
      </w:r>
      <w:r w:rsidDel="00000000" w:rsidR="00000000" w:rsidRPr="00000000">
        <w:rPr>
          <w:rtl w:val="0"/>
        </w:rPr>
        <w:t xml:space="preserve"> o médico que  realizou o exame, emitirá o Atestado de Saúde Ocupacional – ASO, em duas vias, observando-se o seguinte: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a) A 1° via do ASO ficará arquivada no local de trabalho do trabalhador, inclusive frente de trabalho ou canteiro de obras, à disposição da fiscalização do trabalho;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b) A 2° via do ASO será obrigatoriamente entregue ao trabalhador, mediante recibo na primeira via.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8) Quais as responsabilidades do empregador em relação ao PCMSO?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NR 7, as responsabilidades do empregador são: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a) garantir a elaboração e efetiva implementação do PCMSO, bem como zelar pela sua eficácia;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b) custear sem ônus para o empregado todos os procedimentos relacionados ao PCMSO;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c) indicar, dentre os médicos dos Serviços Especializados em Engenharia de Segurança e Medicina do Trabalho - SESMT, da empresa, um coordenador responsável pela execução do PCMSO;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d) no caso de a empresa estar desobrigada de manter médico do trabalho, de acordo com a NR 4, deverá o empregador indicar médico do trabalho, empregado ou não da empresa, para coordenar o PCMSO;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e) inexistindo médico do trabalho na localidade, o empregador poderá contratar médico de outra especialidade para coordenar o PCMSO.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9) Quais as atribuições do médico coordenador do PCMSO?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a NR 7, as atribuições do médico coordenador do PCMSO são 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a) realizar os exames médicos ou encarregar os mesmos a um profissional médico familiarizado com os princípios da patologia ocupacional e suas causas, bem como com o ambiente, as condições de trabalho e os riscos a que está ou será exposto cada trabalhador da empresa a ser examinado;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b) encarregar dos exames complementares previstos nos itens, quadros e anexos desta NR profissionais e/ou entidades devidamente capacitados, equipados e qualificados.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10) Como proceder quando se constatar exposição excessiva do trabalhador aos riscos constantes do Quadro 1 da NR-07?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o subitem 7.4.7 da NR 7, sendo verificada, através da avaliação clínica do trabalhador e/ou dos exames constantes do Quadro I da presente NR, apenas exposição excessiva (EE ou SC+) ao risco, mesmo sem qualquer sintomatologia ou sinal clínico, deverá o trabalhador ser afastado do local de trabalho, ou do risco, até que esteja normalizado o indicador biológico de exposição e as medidas de controle nos ambientes de trabalho tenham sido adotadas.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 Bibliográfica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NR 7 - PROGRAMA DE CONTROLE MÉDICO DE SAÚDE OCUPACIONAL.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1978. Disponível em: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3f3f3" w:val="clear"/>
            <w:rtl w:val="0"/>
          </w:rPr>
          <w:t xml:space="preserve">https://enit.trabalho.gov.br/portal/images/Arquivos_SST/SST_NR/NR-07.pdf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 Acesso em: 22 out. 2020.</w:t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NR 9 - PROGRAMA DE PREVENÇÃO DE RISCOS AMBIENTAIS.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1978. Disponível em: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3f3f3" w:val="clear"/>
            <w:rtl w:val="0"/>
          </w:rPr>
          <w:t xml:space="preserve">https://enit.trabalho.gov.br/portal/images/Arquivos_SST/SST_NR/NR-09-atualizada-2019.pdf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. Acesso em: 22 out. 2020.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E-TEC (Brasil). AULA 30 - Programa de Prevenção de Riscos Ambientais - PPRA.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[20--?]. Disponível em: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3f3f3" w:val="clear"/>
            <w:rtl w:val="0"/>
          </w:rPr>
          <w:t xml:space="preserve">https://aprender3.unb.br/pluginfile.php/179391/mod_resource/content/1/PPRA.pdf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. Acesso em: 22 out. 2020.</w:t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-38099</wp:posOffset>
          </wp:positionV>
          <wp:extent cx="6153150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5315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it.trabalho.gov.br/portal/images/Arquivos_SST/SST_NR/NR-07.pdf" TargetMode="External"/><Relationship Id="rId7" Type="http://schemas.openxmlformats.org/officeDocument/2006/relationships/hyperlink" Target="https://enit.trabalho.gov.br/portal/images/Arquivos_SST/SST_NR/NR-09-atualizada-2019.pdf" TargetMode="External"/><Relationship Id="rId8" Type="http://schemas.openxmlformats.org/officeDocument/2006/relationships/hyperlink" Target="https://aprender3.unb.br/pluginfile.php/179391/mod_resource/content/1/PPRA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