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1F" w:rsidRPr="00BF02C7" w:rsidRDefault="00BF02C7" w:rsidP="00CD3A1F">
      <w:pPr>
        <w:jc w:val="center"/>
        <w:rPr>
          <w:b/>
        </w:rPr>
      </w:pPr>
      <w:bookmarkStart w:id="0" w:name="_GoBack"/>
      <w:bookmarkEnd w:id="0"/>
      <w:r w:rsidRPr="00BF02C7">
        <w:rPr>
          <w:b/>
        </w:rPr>
        <w:t>APPENDIX 2</w:t>
      </w:r>
    </w:p>
    <w:p w:rsidR="00BF02C7" w:rsidRDefault="00BF02C7" w:rsidP="00CD3A1F">
      <w:pPr>
        <w:jc w:val="center"/>
        <w:rPr>
          <w:rFonts w:eastAsia="Times New Roman" w:cs="Times New Roman"/>
          <w:bCs/>
          <w:szCs w:val="24"/>
          <w:lang w:eastAsia="en-CA"/>
        </w:rPr>
      </w:pPr>
    </w:p>
    <w:p w:rsidR="00CD3A1F" w:rsidRDefault="00CD3A1F" w:rsidP="00CD3A1F">
      <w:pPr>
        <w:jc w:val="center"/>
        <w:rPr>
          <w:rFonts w:eastAsia="Times New Roman" w:cs="Times New Roman"/>
          <w:bCs/>
          <w:szCs w:val="24"/>
          <w:lang w:eastAsia="en-CA"/>
        </w:rPr>
      </w:pPr>
      <w:r w:rsidRPr="00CD3A1F">
        <w:rPr>
          <w:rFonts w:eastAsia="Times New Roman" w:cs="Times New Roman"/>
          <w:bCs/>
          <w:szCs w:val="24"/>
          <w:lang w:eastAsia="en-CA"/>
        </w:rPr>
        <w:t>CASH FLOW FORECAST - YEAR 1 (12 MONTHS)</w:t>
      </w:r>
    </w:p>
    <w:p w:rsidR="00CD3A1F" w:rsidRPr="00CD3A1F" w:rsidRDefault="00CD3A1F" w:rsidP="00CD3A1F">
      <w:pPr>
        <w:jc w:val="center"/>
        <w:rPr>
          <w:rFonts w:cs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64"/>
        <w:gridCol w:w="964"/>
        <w:gridCol w:w="995"/>
      </w:tblGrid>
      <w:tr w:rsidR="00CD3A1F" w:rsidRPr="00CD3A1F" w:rsidTr="00037A8C">
        <w:trPr>
          <w:trHeight w:val="195"/>
        </w:trPr>
        <w:tc>
          <w:tcPr>
            <w:tcW w:w="0" w:type="auto"/>
            <w:shd w:val="clear" w:color="FFFFFF" w:fill="D9D9D9"/>
            <w:noWrap/>
            <w:hideMark/>
          </w:tcPr>
          <w:p w:rsidR="00CD3A1F" w:rsidRPr="00CD3A1F" w:rsidRDefault="00CD3A1F" w:rsidP="00CD3A1F">
            <w:pPr>
              <w:ind w:firstLineChars="100" w:firstLine="17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Month: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5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8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10</w:t>
            </w:r>
            <w:r w:rsidR="00037A8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11</w:t>
            </w:r>
            <w:r w:rsidR="00037A8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*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12</w:t>
            </w:r>
            <w:r w:rsidR="00037A8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*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D9D9D9"/>
            <w:noWrap/>
            <w:hideMark/>
          </w:tcPr>
          <w:p w:rsidR="00CD3A1F" w:rsidRPr="00CD3A1F" w:rsidRDefault="00CD3A1F" w:rsidP="00CD3A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Totals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FFFFFF" w:fill="FFFFFF"/>
            <w:noWrap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FFFFFF"/>
            <w:noWrap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Receipts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 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Tuition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$2,000,000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$2,000,000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$4,000,000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 xml:space="preserve">Admin. Fees 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$200,000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$200,000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$400,000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Operating Grant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$1,818,750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$1,818,750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Government Grant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$6,218,750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$6,218,750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Short term financing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FFFFFF" w:fill="E3E3E3"/>
            <w:noWrap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Total Receipts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$8,037,500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$2,200,000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$2,200,000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Payments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Facilities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$210,000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$2,520,000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Teaching and Related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$289,667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Academic Services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$190,958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ind w:firstLineChars="200" w:firstLine="280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Institutional Services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CA"/>
              </w:rPr>
              <w:t>$345,833</w:t>
            </w:r>
          </w:p>
        </w:tc>
        <w:tc>
          <w:tcPr>
            <w:tcW w:w="0" w:type="auto"/>
            <w:tcBorders>
              <w:lef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$4,149,996</w:t>
            </w:r>
          </w:p>
        </w:tc>
      </w:tr>
      <w:tr w:rsidR="00CD3A1F" w:rsidRPr="00CD3A1F" w:rsidTr="00037A8C">
        <w:trPr>
          <w:trHeight w:val="195"/>
        </w:trPr>
        <w:tc>
          <w:tcPr>
            <w:tcW w:w="0" w:type="auto"/>
            <w:shd w:val="clear" w:color="FFFFFF" w:fill="E3E3E3"/>
            <w:noWrap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Total Payments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$1,036,458</w:t>
            </w:r>
          </w:p>
        </w:tc>
        <w:tc>
          <w:tcPr>
            <w:tcW w:w="0" w:type="auto"/>
            <w:tcBorders>
              <w:left w:val="double" w:sz="4" w:space="0" w:color="FF0000"/>
              <w:bottom w:val="single" w:sz="4" w:space="0" w:color="auto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$12,437,496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FFFFFF" w:fill="E3E3E3"/>
            <w:noWrap/>
            <w:hideMark/>
          </w:tcPr>
          <w:p w:rsidR="00CD3A1F" w:rsidRPr="00CD3A1F" w:rsidRDefault="00037A8C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Cash F</w:t>
            </w:r>
            <w:r w:rsidR="00CD3A1F"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low Surplus/Deficit (-)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$7,001,042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$5,964,584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$4,928,126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$3,891,668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$2,855,210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$4,018,752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$2,982,294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$1,945,836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$909,378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-$127,080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-$1,163,538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FFFFFF" w:fill="E3E3E3"/>
            <w:noWrap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Opening Cash Balance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$7,001,042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$5,964,584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$4,928,126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$3,891,668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$2,200,000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$4,018,752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$2,982,294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$1,945,836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$909,378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-$127,080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-$1,163,538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D3A1F" w:rsidRPr="00CD3A1F" w:rsidRDefault="00CD3A1F" w:rsidP="00CD3A1F">
            <w:pPr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FFFFFF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sz w:val="14"/>
                <w:szCs w:val="14"/>
                <w:lang w:eastAsia="en-CA"/>
              </w:rPr>
              <w:t> </w:t>
            </w:r>
          </w:p>
        </w:tc>
      </w:tr>
      <w:tr w:rsidR="00CD3A1F" w:rsidRPr="00CD3A1F" w:rsidTr="00037A8C">
        <w:trPr>
          <w:gridAfter w:val="1"/>
          <w:trHeight w:val="195"/>
        </w:trPr>
        <w:tc>
          <w:tcPr>
            <w:tcW w:w="0" w:type="auto"/>
            <w:shd w:val="clear" w:color="FFFFFF" w:fill="E3E3E3"/>
            <w:noWrap/>
            <w:hideMark/>
          </w:tcPr>
          <w:p w:rsidR="00CD3A1F" w:rsidRPr="00CD3A1F" w:rsidRDefault="00CD3A1F" w:rsidP="00CD3A1F">
            <w:pPr>
              <w:ind w:firstLineChars="100" w:firstLine="141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Closing Cash Balance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$7,001,042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$5,964,584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$4,928,126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$3,891,668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$2,855,210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$4,018,752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$2,982,294</w:t>
            </w:r>
          </w:p>
        </w:tc>
        <w:tc>
          <w:tcPr>
            <w:tcW w:w="0" w:type="auto"/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$1,945,836</w:t>
            </w:r>
          </w:p>
        </w:tc>
        <w:tc>
          <w:tcPr>
            <w:tcW w:w="0" w:type="auto"/>
            <w:tcBorders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$909,378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-$127,080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-$1,163,538</w:t>
            </w:r>
          </w:p>
        </w:tc>
        <w:tc>
          <w:tcPr>
            <w:tcW w:w="0" w:type="auto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000000" w:fill="E3E3E3"/>
            <w:noWrap/>
            <w:vAlign w:val="center"/>
            <w:hideMark/>
          </w:tcPr>
          <w:p w:rsidR="00CD3A1F" w:rsidRPr="00CD3A1F" w:rsidRDefault="00CD3A1F" w:rsidP="00CD3A1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CD3A1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CA"/>
              </w:rPr>
              <w:t>$4</w:t>
            </w:r>
          </w:p>
        </w:tc>
      </w:tr>
    </w:tbl>
    <w:p w:rsidR="002744E9" w:rsidRDefault="002744E9" w:rsidP="00CD3A1F">
      <w:pPr>
        <w:tabs>
          <w:tab w:val="left" w:pos="9169"/>
        </w:tabs>
        <w:rPr>
          <w:rFonts w:ascii="Arial" w:hAnsi="Arial" w:cs="Arial"/>
          <w:sz w:val="17"/>
          <w:szCs w:val="17"/>
        </w:rPr>
      </w:pPr>
    </w:p>
    <w:p w:rsidR="00037A8C" w:rsidRDefault="00037A8C" w:rsidP="00CD3A1F">
      <w:pPr>
        <w:tabs>
          <w:tab w:val="left" w:pos="9169"/>
        </w:tabs>
        <w:rPr>
          <w:rFonts w:ascii="Arial" w:hAnsi="Arial" w:cs="Arial"/>
          <w:sz w:val="17"/>
          <w:szCs w:val="17"/>
        </w:rPr>
      </w:pPr>
    </w:p>
    <w:p w:rsidR="00037A8C" w:rsidRPr="00037A8C" w:rsidRDefault="00037A8C" w:rsidP="00CD3A1F">
      <w:pPr>
        <w:tabs>
          <w:tab w:val="left" w:pos="916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 Marked in red are months with the highest </w:t>
      </w:r>
      <w:r w:rsidR="00A824D0">
        <w:rPr>
          <w:rFonts w:cs="Times New Roman"/>
          <w:szCs w:val="24"/>
        </w:rPr>
        <w:t>risk of cash flow deficit.</w:t>
      </w:r>
      <w:r>
        <w:rPr>
          <w:rFonts w:cs="Times New Roman"/>
          <w:szCs w:val="24"/>
        </w:rPr>
        <w:t xml:space="preserve"> </w:t>
      </w:r>
    </w:p>
    <w:sectPr w:rsidR="00037A8C" w:rsidRPr="00037A8C" w:rsidSect="00CD3A1F">
      <w:headerReference w:type="default" r:id="rId6"/>
      <w:pgSz w:w="15840" w:h="12240" w:orient="landscape"/>
      <w:pgMar w:top="1361" w:right="737" w:bottom="136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6E" w:rsidRDefault="002D1D6E" w:rsidP="00CD3A1F">
      <w:r>
        <w:separator/>
      </w:r>
    </w:p>
  </w:endnote>
  <w:endnote w:type="continuationSeparator" w:id="0">
    <w:p w:rsidR="002D1D6E" w:rsidRDefault="002D1D6E" w:rsidP="00CD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6E" w:rsidRDefault="002D1D6E" w:rsidP="00CD3A1F">
      <w:r>
        <w:separator/>
      </w:r>
    </w:p>
  </w:footnote>
  <w:footnote w:type="continuationSeparator" w:id="0">
    <w:p w:rsidR="002D1D6E" w:rsidRDefault="002D1D6E" w:rsidP="00CD3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A1F" w:rsidRDefault="00BF02C7" w:rsidP="00BF02C7">
    <w:pPr>
      <w:pStyle w:val="Header"/>
    </w:pPr>
    <w:r>
      <w:rPr>
        <w:noProof/>
        <w:lang w:eastAsia="en-CA"/>
      </w:rPr>
      <w:drawing>
        <wp:inline distT="0" distB="0" distL="0" distR="0" wp14:anchorId="707089B0" wp14:editId="285F28BD">
          <wp:extent cx="1536700" cy="438150"/>
          <wp:effectExtent l="0" t="0" r="6350" b="0"/>
          <wp:docPr id="1" name="Picture 1" descr="LB-American-University-College-of-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B-American-University-College-of-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02C7" w:rsidRDefault="00BF02C7" w:rsidP="00BF02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1F"/>
    <w:rsid w:val="00037A8C"/>
    <w:rsid w:val="002744E9"/>
    <w:rsid w:val="002D1D6E"/>
    <w:rsid w:val="00510BEB"/>
    <w:rsid w:val="00573346"/>
    <w:rsid w:val="00A824D0"/>
    <w:rsid w:val="00BF02C7"/>
    <w:rsid w:val="00C9066F"/>
    <w:rsid w:val="00CD3A1F"/>
    <w:rsid w:val="00D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9A07C-A3FC-440C-9FEC-33350832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A1F"/>
  </w:style>
  <w:style w:type="paragraph" w:styleId="Footer">
    <w:name w:val="footer"/>
    <w:basedOn w:val="Normal"/>
    <w:link w:val="FooterChar"/>
    <w:uiPriority w:val="99"/>
    <w:unhideWhenUsed/>
    <w:rsid w:val="00CD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A1F"/>
  </w:style>
  <w:style w:type="paragraph" w:styleId="ListParagraph">
    <w:name w:val="List Paragraph"/>
    <w:basedOn w:val="Normal"/>
    <w:uiPriority w:val="34"/>
    <w:qFormat/>
    <w:rsid w:val="0003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7</cp:revision>
  <dcterms:created xsi:type="dcterms:W3CDTF">2014-11-28T01:44:00Z</dcterms:created>
  <dcterms:modified xsi:type="dcterms:W3CDTF">2014-11-30T23:36:00Z</dcterms:modified>
</cp:coreProperties>
</file>