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E206" w14:textId="4F26EAA8" w:rsidR="006A08EF" w:rsidRDefault="0092006D" w:rsidP="006A08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10BD5E" wp14:editId="1843D705">
            <wp:extent cx="6333069" cy="5148000"/>
            <wp:effectExtent l="0" t="0" r="4445" b="0"/>
            <wp:docPr id="19335559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069" cy="51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F758" w14:textId="7C6749C2" w:rsidR="004F722B" w:rsidRPr="0092006D" w:rsidRDefault="00AA6FEC" w:rsidP="00F7340D">
      <w:pPr>
        <w:spacing w:line="240" w:lineRule="auto"/>
        <w:jc w:val="both"/>
        <w:rPr>
          <w:rFonts w:ascii="Aptos" w:hAnsi="Aptos" w:cs="Times New Roman"/>
          <w:lang w:val="en-US"/>
        </w:rPr>
      </w:pPr>
      <w:r w:rsidRPr="00B44F50">
        <w:rPr>
          <w:rFonts w:ascii="Aptos" w:hAnsi="Aptos" w:cs="Times New Roman"/>
          <w:b/>
          <w:bCs/>
          <w:lang w:val="en-US"/>
        </w:rPr>
        <w:t>Supplementary Figure S</w:t>
      </w:r>
      <w:r w:rsidR="00FE686C">
        <w:rPr>
          <w:rFonts w:ascii="Aptos" w:hAnsi="Aptos" w:cs="Times New Roman"/>
          <w:b/>
          <w:bCs/>
          <w:lang w:val="en-US"/>
        </w:rPr>
        <w:t>2</w:t>
      </w:r>
      <w:r w:rsidRPr="00B44F50">
        <w:rPr>
          <w:rFonts w:ascii="Aptos" w:hAnsi="Aptos" w:cs="Times New Roman"/>
          <w:b/>
          <w:bCs/>
          <w:lang w:val="en-US"/>
        </w:rPr>
        <w:t xml:space="preserve">. DECODER hierarchical factor tree and downstream methodology for clinical condition stratification. </w:t>
      </w:r>
      <w:r w:rsidRPr="00B44F50">
        <w:rPr>
          <w:rFonts w:ascii="Aptos" w:hAnsi="Aptos" w:cs="Times New Roman"/>
          <w:lang w:val="en-US"/>
        </w:rPr>
        <w:t>A</w:t>
      </w:r>
      <w:r w:rsidR="004F5447" w:rsidRPr="00B44F50">
        <w:rPr>
          <w:rFonts w:ascii="Aptos" w:hAnsi="Aptos" w:cs="Times New Roman"/>
          <w:lang w:val="en-US"/>
        </w:rPr>
        <w:t xml:space="preserve">. </w:t>
      </w:r>
      <w:r w:rsidR="00BE4A15" w:rsidRPr="00B44F50">
        <w:rPr>
          <w:rFonts w:ascii="Aptos" w:hAnsi="Aptos"/>
          <w:lang w:val="en-US"/>
        </w:rPr>
        <w:t xml:space="preserve">Hierarchical tree of transcriptomic compartments inferred from the unsupervised </w:t>
      </w:r>
      <w:r w:rsidR="00BE4A15" w:rsidRPr="00B44F50">
        <w:rPr>
          <w:rFonts w:ascii="Aptos" w:hAnsi="Aptos"/>
          <w:i/>
          <w:iCs/>
          <w:lang w:val="en-US"/>
        </w:rPr>
        <w:t>de novo</w:t>
      </w:r>
      <w:r w:rsidR="00BE4A15" w:rsidRPr="00B44F50">
        <w:rPr>
          <w:rFonts w:ascii="Aptos" w:hAnsi="Aptos"/>
          <w:lang w:val="en-US"/>
        </w:rPr>
        <w:t xml:space="preserve"> deconvolution of human hippocampal bulk RNA-seq data (N = 30 samples, spanning the CA1–CA3 regions)</w:t>
      </w:r>
      <w:r w:rsidR="00375142">
        <w:rPr>
          <w:rFonts w:ascii="Aptos" w:hAnsi="Aptos"/>
          <w:lang w:val="en-US"/>
        </w:rPr>
        <w:t>;</w:t>
      </w:r>
      <w:r w:rsidR="00BE4A15" w:rsidRPr="00B44F50">
        <w:rPr>
          <w:rFonts w:ascii="Aptos" w:hAnsi="Aptos"/>
          <w:lang w:val="en-US"/>
        </w:rPr>
        <w:t xml:space="preserve"> the deconvolution was executed globally across all unstratified samples.</w:t>
      </w:r>
      <w:r w:rsidR="004F5447" w:rsidRPr="00B44F50">
        <w:rPr>
          <w:rFonts w:ascii="Aptos" w:hAnsi="Aptos"/>
          <w:lang w:val="en-US"/>
        </w:rPr>
        <w:t xml:space="preserve"> </w:t>
      </w:r>
      <w:r w:rsidR="00BE4A15" w:rsidRPr="00B44F50">
        <w:rPr>
          <w:rFonts w:ascii="Aptos" w:hAnsi="Aptos"/>
          <w:lang w:val="en-US"/>
        </w:rPr>
        <w:t>Nodes represent transcriptionally distinct compartments reproducibly identified across multiple clustering runs (K = 2</w:t>
      </w:r>
      <w:r w:rsidR="004F5447" w:rsidRPr="00B44F50">
        <w:rPr>
          <w:rFonts w:ascii="Aptos" w:hAnsi="Aptos"/>
          <w:lang w:val="en-US"/>
        </w:rPr>
        <w:t>-</w:t>
      </w:r>
      <w:r w:rsidR="00BE4A15" w:rsidRPr="00B44F50">
        <w:rPr>
          <w:rFonts w:ascii="Aptos" w:hAnsi="Aptos"/>
          <w:lang w:val="en-US"/>
        </w:rPr>
        <w:t xml:space="preserve">15) and are color-coded according to their structural stability and biological relevance: </w:t>
      </w:r>
      <w:r w:rsidR="004F5447" w:rsidRPr="00B44F50">
        <w:rPr>
          <w:rFonts w:ascii="Aptos" w:hAnsi="Aptos"/>
          <w:lang w:val="en-US"/>
        </w:rPr>
        <w:t xml:space="preserve">red, highly stable and functionally relevant compartments; yellow, compartments with intermediate stability or variability across runs; and blue, poorly represented compartments with low gene density. </w:t>
      </w:r>
      <w:r w:rsidR="00BE4A15" w:rsidRPr="00B44F50">
        <w:rPr>
          <w:rFonts w:ascii="Aptos" w:hAnsi="Aptos"/>
          <w:lang w:val="en-US"/>
        </w:rPr>
        <w:t xml:space="preserve"> Each key node is annotated with its primary functional term determined via DECODER-based characterization and </w:t>
      </w:r>
      <w:proofErr w:type="spellStart"/>
      <w:r w:rsidR="00BE4A15" w:rsidRPr="00B44F50">
        <w:rPr>
          <w:rFonts w:ascii="Aptos" w:hAnsi="Aptos"/>
          <w:lang w:val="en-US"/>
        </w:rPr>
        <w:t>Metascape</w:t>
      </w:r>
      <w:proofErr w:type="spellEnd"/>
      <w:r w:rsidR="00BE4A15" w:rsidRPr="00B44F50">
        <w:rPr>
          <w:rFonts w:ascii="Aptos" w:hAnsi="Aptos"/>
          <w:lang w:val="en-US"/>
        </w:rPr>
        <w:t xml:space="preserve"> functional enrichment analysis, allowing direct visualization of the biological processes underlying each compartment. Representative annotated modules include:</w:t>
      </w:r>
      <w:r w:rsidR="004F5447" w:rsidRPr="00B44F50">
        <w:rPr>
          <w:rFonts w:ascii="Aptos" w:hAnsi="Aptos"/>
          <w:lang w:val="en-US"/>
        </w:rPr>
        <w:t xml:space="preserve"> </w:t>
      </w:r>
      <w:r w:rsidR="004F5447" w:rsidRPr="00B44F50">
        <w:rPr>
          <w:rFonts w:ascii="Aptos" w:hAnsi="Aptos" w:cs="Times New Roman"/>
          <w:lang w:val="en-US"/>
        </w:rPr>
        <w:t>14.14_MODULE-310 (detoxification and organelle localization); 12.9_STANHILL-HRAS-TRANSFORMATION-UP (protein homeostasis and endoplasmic reticulum stress); 7.3_REACTOME-GABA-A-RECEPTOR-ACTIVATION (GABAergic signaling and synaptic organization); 14.2_GNF2-TPT1 (regulation of translation and cytoskeletal dynamics); 13.13_KANG-DOXORUBICIN-RESISTANCE-DN (</w:t>
      </w:r>
      <w:proofErr w:type="spellStart"/>
      <w:r w:rsidR="004F5447" w:rsidRPr="00B44F50">
        <w:rPr>
          <w:rFonts w:ascii="Aptos" w:hAnsi="Aptos" w:cs="Times New Roman"/>
          <w:lang w:val="en-US"/>
        </w:rPr>
        <w:t>proteostasis</w:t>
      </w:r>
      <w:proofErr w:type="spellEnd"/>
      <w:r w:rsidR="004F5447" w:rsidRPr="00B44F50">
        <w:rPr>
          <w:rFonts w:ascii="Aptos" w:hAnsi="Aptos" w:cs="Times New Roman"/>
          <w:lang w:val="en-US"/>
        </w:rPr>
        <w:t xml:space="preserve"> and cellular stress response); 14.3_REACTOME-GABA-A-RECEPTOR-ACTIVATION </w:t>
      </w:r>
      <w:r w:rsidR="004F5447" w:rsidRPr="00B44F50">
        <w:rPr>
          <w:rFonts w:ascii="Aptos" w:hAnsi="Aptos" w:cs="Times New Roman"/>
          <w:lang w:val="en-US"/>
        </w:rPr>
        <w:lastRenderedPageBreak/>
        <w:t xml:space="preserve">(synaptic signaling via GABA receptors); 13.10_MIPS-SMN-POLII-RHA-COMPLEX (proteasome function and translational stress); 11.7_chr9p11 (calcium homeostasis and RTK signaling); 11.10_WEBER-METHYLATED-HCP-IN-SPERM-DN (membrane trafficking and neurodevelopmental processes); 5.2_GNF2-TPT1 (ribosome biogenesis and amino acid metabolism). B. </w:t>
      </w:r>
      <w:proofErr w:type="gramStart"/>
      <w:r w:rsidR="003405B8" w:rsidRPr="003405B8">
        <w:rPr>
          <w:rFonts w:ascii="Aptos" w:hAnsi="Aptos" w:cs="Times New Roman"/>
          <w:lang w:val="en-US"/>
        </w:rPr>
        <w:t>Post-deconvolution</w:t>
      </w:r>
      <w:proofErr w:type="gramEnd"/>
      <w:r w:rsidR="003405B8" w:rsidRPr="003405B8">
        <w:rPr>
          <w:rFonts w:ascii="Aptos" w:hAnsi="Aptos" w:cs="Times New Roman"/>
          <w:lang w:val="en-US"/>
        </w:rPr>
        <w:t xml:space="preserve"> downstream workflow for transcriptomic profile reconstruction and </w:t>
      </w:r>
      <w:proofErr w:type="spellStart"/>
      <w:r w:rsidR="003405B8" w:rsidRPr="003405B8">
        <w:rPr>
          <w:rFonts w:ascii="Aptos" w:hAnsi="Aptos" w:cs="Times New Roman"/>
          <w:lang w:val="en-US"/>
        </w:rPr>
        <w:t>pseudobulk</w:t>
      </w:r>
      <w:proofErr w:type="spellEnd"/>
      <w:r w:rsidR="003405B8" w:rsidRPr="003405B8">
        <w:rPr>
          <w:rFonts w:ascii="Aptos" w:hAnsi="Aptos" w:cs="Times New Roman"/>
          <w:lang w:val="en-US"/>
        </w:rPr>
        <w:t xml:space="preserve"> generation. Diagram of the analytical process executed to project the deconvolution outputs across different clinical cohorts. Two primary weight matrices derived from DECODER were utilized: the sample weight matrix (</w:t>
      </w:r>
      <w:proofErr w:type="spellStart"/>
      <w:r w:rsidR="003405B8" w:rsidRPr="003405B8">
        <w:rPr>
          <w:rFonts w:ascii="Aptos" w:hAnsi="Aptos" w:cs="Times New Roman"/>
          <w:lang w:val="en-US"/>
        </w:rPr>
        <w:t>sample_w</w:t>
      </w:r>
      <w:proofErr w:type="spellEnd"/>
      <w:r w:rsidR="003405B8" w:rsidRPr="003405B8">
        <w:rPr>
          <w:rFonts w:ascii="Aptos" w:hAnsi="Aptos" w:cs="Times New Roman"/>
          <w:lang w:val="en-US"/>
        </w:rPr>
        <w:t>), indicating compartment proportions per sample, and the gene weight matrix (</w:t>
      </w:r>
      <w:proofErr w:type="spellStart"/>
      <w:r w:rsidR="003405B8" w:rsidRPr="003405B8">
        <w:rPr>
          <w:rFonts w:ascii="Aptos" w:hAnsi="Aptos" w:cs="Times New Roman"/>
          <w:lang w:val="en-US"/>
        </w:rPr>
        <w:t>gene_w</w:t>
      </w:r>
      <w:proofErr w:type="spellEnd"/>
      <w:r w:rsidR="003405B8" w:rsidRPr="003405B8">
        <w:rPr>
          <w:rFonts w:ascii="Aptos" w:hAnsi="Aptos" w:cs="Times New Roman"/>
          <w:lang w:val="en-US"/>
        </w:rPr>
        <w:t xml:space="preserve">), defining compartment-specific expression profiles. Each matrix was normalized independently, where </w:t>
      </w:r>
      <w:proofErr w:type="spellStart"/>
      <w:r w:rsidR="003405B8" w:rsidRPr="003405B8">
        <w:rPr>
          <w:rFonts w:ascii="Aptos" w:hAnsi="Aptos" w:cs="Times New Roman"/>
          <w:lang w:val="en-US"/>
        </w:rPr>
        <w:t>gene_w</w:t>
      </w:r>
      <w:proofErr w:type="spellEnd"/>
      <w:r w:rsidR="003405B8" w:rsidRPr="003405B8">
        <w:rPr>
          <w:rFonts w:ascii="Aptos" w:hAnsi="Aptos" w:cs="Times New Roman"/>
          <w:lang w:val="en-US"/>
        </w:rPr>
        <w:t xml:space="preserve"> was column-scaled and </w:t>
      </w:r>
      <w:proofErr w:type="spellStart"/>
      <w:r w:rsidR="003405B8" w:rsidRPr="003405B8">
        <w:rPr>
          <w:rFonts w:ascii="Aptos" w:hAnsi="Aptos" w:cs="Times New Roman"/>
          <w:lang w:val="en-US"/>
        </w:rPr>
        <w:t>sample_w</w:t>
      </w:r>
      <w:proofErr w:type="spellEnd"/>
      <w:r w:rsidR="003405B8" w:rsidRPr="003405B8">
        <w:rPr>
          <w:rFonts w:ascii="Aptos" w:hAnsi="Aptos" w:cs="Times New Roman"/>
          <w:lang w:val="en-US"/>
        </w:rPr>
        <w:t xml:space="preserve"> was row-scaled (Σ= 1). A global post-deconvolution expression matrix (N genes x M samples) was linearly reconstructed via matrix multiplication (</w:t>
      </w:r>
      <w:proofErr w:type="spellStart"/>
      <w:r w:rsidR="003405B8" w:rsidRPr="003405B8">
        <w:rPr>
          <w:rFonts w:ascii="Aptos" w:hAnsi="Aptos" w:cs="Times New Roman"/>
          <w:lang w:val="en-US"/>
        </w:rPr>
        <w:t>gene_w</w:t>
      </w:r>
      <w:proofErr w:type="spellEnd"/>
      <w:r w:rsidR="003405B8" w:rsidRPr="003405B8">
        <w:rPr>
          <w:rFonts w:ascii="Aptos" w:hAnsi="Aptos" w:cs="Times New Roman"/>
          <w:lang w:val="en-US"/>
        </w:rPr>
        <w:t xml:space="preserve"> x </w:t>
      </w:r>
      <w:proofErr w:type="spellStart"/>
      <w:r w:rsidR="003405B8" w:rsidRPr="003405B8">
        <w:rPr>
          <w:rFonts w:ascii="Aptos" w:hAnsi="Aptos" w:cs="Times New Roman"/>
          <w:lang w:val="en-US"/>
        </w:rPr>
        <w:t>sample_w</w:t>
      </w:r>
      <w:proofErr w:type="spellEnd"/>
      <w:r w:rsidR="003405B8" w:rsidRPr="003405B8">
        <w:rPr>
          <w:rFonts w:ascii="Aptos" w:hAnsi="Aptos" w:cs="Times New Roman"/>
          <w:lang w:val="en-US"/>
        </w:rPr>
        <w:t>), leveraging the compartments as a common latent variable. Following reconstruction, data variance was stabilized using a log</w:t>
      </w:r>
      <w:r w:rsidR="003405B8" w:rsidRPr="00375142">
        <w:rPr>
          <w:rFonts w:ascii="Aptos" w:hAnsi="Aptos" w:cs="Times New Roman"/>
          <w:vertAlign w:val="subscript"/>
          <w:lang w:val="en-US"/>
        </w:rPr>
        <w:t>2</w:t>
      </w:r>
      <w:r w:rsidR="003405B8" w:rsidRPr="003405B8">
        <w:rPr>
          <w:rFonts w:ascii="Aptos" w:hAnsi="Aptos" w:cs="Times New Roman"/>
          <w:lang w:val="en-US"/>
        </w:rPr>
        <w:t xml:space="preserve">(x + 1) transformation. Finally, sample-level profiles were stratified into their respective clinical cohorts and row-wise averaged, generating four independent </w:t>
      </w:r>
      <w:proofErr w:type="spellStart"/>
      <w:r w:rsidR="003405B8" w:rsidRPr="003405B8">
        <w:rPr>
          <w:rFonts w:ascii="Aptos" w:hAnsi="Aptos" w:cs="Times New Roman"/>
          <w:lang w:val="en-US"/>
        </w:rPr>
        <w:t>pseudobulk</w:t>
      </w:r>
      <w:proofErr w:type="spellEnd"/>
      <w:r w:rsidR="003405B8" w:rsidRPr="003405B8">
        <w:rPr>
          <w:rFonts w:ascii="Aptos" w:hAnsi="Aptos" w:cs="Times New Roman"/>
          <w:lang w:val="en-US"/>
        </w:rPr>
        <w:t xml:space="preserve"> profiles tracking disease progression: Control (n = 8), Incipient (n = 7), Moderate (n = 8), and Severe (n = 7).</w:t>
      </w:r>
    </w:p>
    <w:sectPr w:rsidR="004F722B" w:rsidRPr="0092006D" w:rsidSect="008E1EEA">
      <w:footerReference w:type="default" r:id="rId8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8A2C3" w14:textId="77777777" w:rsidR="000575A7" w:rsidRDefault="000575A7" w:rsidP="008E1EEA">
      <w:pPr>
        <w:spacing w:after="0" w:line="240" w:lineRule="auto"/>
      </w:pPr>
      <w:r>
        <w:separator/>
      </w:r>
    </w:p>
  </w:endnote>
  <w:endnote w:type="continuationSeparator" w:id="0">
    <w:p w14:paraId="331BB287" w14:textId="77777777" w:rsidR="000575A7" w:rsidRDefault="000575A7" w:rsidP="008E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4947605"/>
      <w:docPartObj>
        <w:docPartGallery w:val="Page Numbers (Bottom of Page)"/>
        <w:docPartUnique/>
      </w:docPartObj>
    </w:sdtPr>
    <w:sdtContent>
      <w:p w14:paraId="64A240D5" w14:textId="2EB6ED11" w:rsidR="008E1EEA" w:rsidRDefault="008E1EE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BF8734" w14:textId="77777777" w:rsidR="008E1EEA" w:rsidRDefault="008E1E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1A27F" w14:textId="77777777" w:rsidR="000575A7" w:rsidRDefault="000575A7" w:rsidP="008E1EEA">
      <w:pPr>
        <w:spacing w:after="0" w:line="240" w:lineRule="auto"/>
      </w:pPr>
      <w:r>
        <w:separator/>
      </w:r>
    </w:p>
  </w:footnote>
  <w:footnote w:type="continuationSeparator" w:id="0">
    <w:p w14:paraId="685EAA8F" w14:textId="77777777" w:rsidR="000575A7" w:rsidRDefault="000575A7" w:rsidP="008E1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A87"/>
    <w:multiLevelType w:val="multilevel"/>
    <w:tmpl w:val="22C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3366"/>
    <w:multiLevelType w:val="multilevel"/>
    <w:tmpl w:val="1FA4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76AF"/>
    <w:multiLevelType w:val="multilevel"/>
    <w:tmpl w:val="CF3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7B2"/>
    <w:multiLevelType w:val="multilevel"/>
    <w:tmpl w:val="68E8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21400"/>
    <w:multiLevelType w:val="multilevel"/>
    <w:tmpl w:val="06F2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92B3F"/>
    <w:multiLevelType w:val="multilevel"/>
    <w:tmpl w:val="963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627838">
    <w:abstractNumId w:val="2"/>
  </w:num>
  <w:num w:numId="2" w16cid:durableId="1780832998">
    <w:abstractNumId w:val="5"/>
  </w:num>
  <w:num w:numId="3" w16cid:durableId="464005742">
    <w:abstractNumId w:val="4"/>
  </w:num>
  <w:num w:numId="4" w16cid:durableId="2018266325">
    <w:abstractNumId w:val="3"/>
  </w:num>
  <w:num w:numId="5" w16cid:durableId="112217419">
    <w:abstractNumId w:val="1"/>
  </w:num>
  <w:num w:numId="6" w16cid:durableId="29047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72"/>
    <w:rsid w:val="000575A7"/>
    <w:rsid w:val="00071F0D"/>
    <w:rsid w:val="000877CB"/>
    <w:rsid w:val="000A3B18"/>
    <w:rsid w:val="00101E5C"/>
    <w:rsid w:val="00193472"/>
    <w:rsid w:val="001E03F5"/>
    <w:rsid w:val="00213890"/>
    <w:rsid w:val="002212AD"/>
    <w:rsid w:val="002E63BA"/>
    <w:rsid w:val="002F5263"/>
    <w:rsid w:val="00323835"/>
    <w:rsid w:val="003405B8"/>
    <w:rsid w:val="00375142"/>
    <w:rsid w:val="003C0A99"/>
    <w:rsid w:val="004627A3"/>
    <w:rsid w:val="00484F5B"/>
    <w:rsid w:val="00493198"/>
    <w:rsid w:val="004B3277"/>
    <w:rsid w:val="004D0E11"/>
    <w:rsid w:val="004D49E4"/>
    <w:rsid w:val="004F5447"/>
    <w:rsid w:val="004F722B"/>
    <w:rsid w:val="00521835"/>
    <w:rsid w:val="00523ABD"/>
    <w:rsid w:val="00555843"/>
    <w:rsid w:val="005A2A22"/>
    <w:rsid w:val="005B2B91"/>
    <w:rsid w:val="005D2723"/>
    <w:rsid w:val="005D2E14"/>
    <w:rsid w:val="0060323B"/>
    <w:rsid w:val="00655DF1"/>
    <w:rsid w:val="00675D0C"/>
    <w:rsid w:val="006A08EF"/>
    <w:rsid w:val="006D4ED8"/>
    <w:rsid w:val="00702D84"/>
    <w:rsid w:val="00752762"/>
    <w:rsid w:val="007F048E"/>
    <w:rsid w:val="00833AF5"/>
    <w:rsid w:val="0084069E"/>
    <w:rsid w:val="008411B5"/>
    <w:rsid w:val="008E1EEA"/>
    <w:rsid w:val="0092006D"/>
    <w:rsid w:val="009B00AF"/>
    <w:rsid w:val="009B42BD"/>
    <w:rsid w:val="009E4E29"/>
    <w:rsid w:val="009E625C"/>
    <w:rsid w:val="00A77489"/>
    <w:rsid w:val="00AA6FEC"/>
    <w:rsid w:val="00B44F50"/>
    <w:rsid w:val="00B74374"/>
    <w:rsid w:val="00BB2307"/>
    <w:rsid w:val="00BE4A15"/>
    <w:rsid w:val="00C342B9"/>
    <w:rsid w:val="00C66266"/>
    <w:rsid w:val="00D65A12"/>
    <w:rsid w:val="00D86523"/>
    <w:rsid w:val="00DD6156"/>
    <w:rsid w:val="00E329B0"/>
    <w:rsid w:val="00E366F9"/>
    <w:rsid w:val="00E467F2"/>
    <w:rsid w:val="00E74A67"/>
    <w:rsid w:val="00F51C55"/>
    <w:rsid w:val="00F7340D"/>
    <w:rsid w:val="00FE0C93"/>
    <w:rsid w:val="00F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8A1F"/>
  <w15:chartTrackingRefBased/>
  <w15:docId w15:val="{90D903C6-7214-4D59-9D2B-64D5D0D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4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4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4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4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47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5D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DF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5DF1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E1E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EEA"/>
  </w:style>
  <w:style w:type="paragraph" w:styleId="Piedepgina">
    <w:name w:val="footer"/>
    <w:basedOn w:val="Normal"/>
    <w:link w:val="PiedepginaCar"/>
    <w:uiPriority w:val="99"/>
    <w:unhideWhenUsed/>
    <w:rsid w:val="008E1E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EEA"/>
  </w:style>
  <w:style w:type="paragraph" w:styleId="Textodeglobo">
    <w:name w:val="Balloon Text"/>
    <w:basedOn w:val="Normal"/>
    <w:link w:val="TextodegloboCar"/>
    <w:uiPriority w:val="99"/>
    <w:semiHidden/>
    <w:unhideWhenUsed/>
    <w:rsid w:val="003C0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A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Millan</dc:creator>
  <cp:keywords/>
  <dc:description/>
  <cp:lastModifiedBy>nombredeusuario</cp:lastModifiedBy>
  <cp:revision>5</cp:revision>
  <cp:lastPrinted>2026-06-06T00:45:00Z</cp:lastPrinted>
  <dcterms:created xsi:type="dcterms:W3CDTF">2026-06-06T04:00:00Z</dcterms:created>
  <dcterms:modified xsi:type="dcterms:W3CDTF">2026-06-08T22:55:00Z</dcterms:modified>
</cp:coreProperties>
</file>