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1205B" w14:textId="3424EBCE" w:rsidR="00F06D83" w:rsidRDefault="00F06D83" w:rsidP="001E6FA9">
      <w:pPr>
        <w:jc w:val="both"/>
      </w:pPr>
      <w:r w:rsidRPr="00264B45">
        <w:rPr>
          <w:b/>
          <w:bCs/>
        </w:rPr>
        <w:t>Supplementary Table S1.</w:t>
      </w:r>
      <w:r>
        <w:t xml:space="preserve"> Definition of the brain-like extracellular medium used for model simulations. This table lists the metabolites allowed to exchange between the extracellular space and the intracellular compartments of astrocyte and GABAergic neuron genome-scale metabolic models. Each entry includes the COBRA-formatted exchange reaction identifier (EX_[e]), molecular formula, lower and upper flux bounds (mmol·gDW⁻¹·h⁻¹), physiological role (uptake, secretion, or bidirectional exchange), and relevant literature references used to define each constraint. Negative bounds represent metabolite uptake, while positive bounds correspond to secretion according to the COBRA convention. Differences between astrocytic and neuronal constraints are indicated in the Model column, highlighting the lactate shuttle (astrocytic export vs. neuronal import), glutamate–glutamine cycling, and cholesterol supply from astrocytes to neurons. All flux boundaries were implemented in COBRA Toolbox (MATLAB) and used as environmental constraints during exp2flux integration of transcriptomic data (see Methods).</w:t>
      </w:r>
    </w:p>
    <w:tbl>
      <w:tblPr>
        <w:tblStyle w:val="Tablaconcuadrcula"/>
        <w:tblW w:w="0" w:type="auto"/>
        <w:tblLook w:val="04A0" w:firstRow="1" w:lastRow="0" w:firstColumn="1" w:lastColumn="0" w:noHBand="0" w:noVBand="1"/>
      </w:tblPr>
      <w:tblGrid>
        <w:gridCol w:w="1838"/>
        <w:gridCol w:w="1833"/>
        <w:gridCol w:w="1254"/>
        <w:gridCol w:w="1042"/>
        <w:gridCol w:w="1041"/>
        <w:gridCol w:w="1826"/>
        <w:gridCol w:w="1275"/>
        <w:gridCol w:w="1086"/>
        <w:gridCol w:w="1801"/>
      </w:tblGrid>
      <w:tr w:rsidR="00896245" w:rsidRPr="00896245" w14:paraId="6C2BE00D" w14:textId="77777777" w:rsidTr="009F6CDC">
        <w:tc>
          <w:tcPr>
            <w:tcW w:w="1838" w:type="dxa"/>
            <w:hideMark/>
          </w:tcPr>
          <w:p w14:paraId="459326F0"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Metabolite</w:t>
            </w:r>
          </w:p>
        </w:tc>
        <w:tc>
          <w:tcPr>
            <w:tcW w:w="1833" w:type="dxa"/>
            <w:hideMark/>
          </w:tcPr>
          <w:p w14:paraId="7D6487C4" w14:textId="77777777" w:rsidR="00FD21D1" w:rsidRDefault="00000000">
            <w:r>
              <w:rPr>
                <w:sz w:val="20"/>
              </w:rPr>
              <w:t>Bidirectional exchange ID (COBRA)</w:t>
            </w:r>
          </w:p>
        </w:tc>
        <w:tc>
          <w:tcPr>
            <w:tcW w:w="0" w:type="auto"/>
            <w:hideMark/>
          </w:tcPr>
          <w:p w14:paraId="592178CF"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Formula</w:t>
            </w:r>
          </w:p>
        </w:tc>
        <w:tc>
          <w:tcPr>
            <w:tcW w:w="0" w:type="auto"/>
            <w:hideMark/>
          </w:tcPr>
          <w:p w14:paraId="74247743" w14:textId="77777777" w:rsidR="00896245" w:rsidRPr="00896245" w:rsidRDefault="00896245" w:rsidP="00896245">
            <w:pPr>
              <w:spacing w:line="240" w:lineRule="auto"/>
              <w:jc w:val="center"/>
              <w:rPr>
                <w:rFonts w:ascii="Times New Roman" w:eastAsia="Times New Roman" w:hAnsi="Times New Roman" w:cs="Times New Roman"/>
                <w:b/>
                <w:bCs/>
                <w:lang w:eastAsia="es-CO"/>
              </w:rPr>
            </w:pPr>
            <w:r w:rsidRPr="00896245">
              <w:rPr>
                <w:rFonts w:ascii="Times New Roman" w:eastAsia="Times New Roman" w:hAnsi="Times New Roman" w:cs="Times New Roman"/>
                <w:b/>
                <w:bCs/>
                <w:sz w:val="20"/>
                <w:lang w:eastAsia="es-CO"/>
              </w:rPr>
              <w:t>Lower bound (mmol gDW⁻¹ h⁻¹)</w:t>
            </w:r>
          </w:p>
        </w:tc>
        <w:tc>
          <w:tcPr>
            <w:tcW w:w="0" w:type="auto"/>
            <w:hideMark/>
          </w:tcPr>
          <w:p w14:paraId="36002BEB" w14:textId="77777777" w:rsidR="00896245" w:rsidRPr="00896245" w:rsidRDefault="00896245" w:rsidP="00896245">
            <w:pPr>
              <w:spacing w:line="240" w:lineRule="auto"/>
              <w:jc w:val="center"/>
              <w:rPr>
                <w:rFonts w:ascii="Times New Roman" w:eastAsia="Times New Roman" w:hAnsi="Times New Roman" w:cs="Times New Roman"/>
                <w:b/>
                <w:bCs/>
                <w:lang w:eastAsia="es-CO"/>
              </w:rPr>
            </w:pPr>
            <w:r w:rsidRPr="00896245">
              <w:rPr>
                <w:rFonts w:ascii="Times New Roman" w:eastAsia="Times New Roman" w:hAnsi="Times New Roman" w:cs="Times New Roman"/>
                <w:b/>
                <w:bCs/>
                <w:sz w:val="20"/>
                <w:lang w:eastAsia="es-CO"/>
              </w:rPr>
              <w:t>Upper bound (mmol gDW⁻¹ h⁻¹)</w:t>
            </w:r>
          </w:p>
        </w:tc>
        <w:tc>
          <w:tcPr>
            <w:tcW w:w="0" w:type="auto"/>
            <w:hideMark/>
          </w:tcPr>
          <w:p w14:paraId="3FA1A379"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Physiological Role</w:t>
            </w:r>
          </w:p>
        </w:tc>
        <w:tc>
          <w:tcPr>
            <w:tcW w:w="0" w:type="auto"/>
            <w:hideMark/>
          </w:tcPr>
          <w:p w14:paraId="37092F46"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Reference / Source</w:t>
            </w:r>
          </w:p>
        </w:tc>
        <w:tc>
          <w:tcPr>
            <w:tcW w:w="0" w:type="auto"/>
            <w:hideMark/>
          </w:tcPr>
          <w:p w14:paraId="766773DB"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Model</w:t>
            </w:r>
          </w:p>
        </w:tc>
        <w:tc>
          <w:tcPr>
            <w:tcW w:w="0" w:type="auto"/>
            <w:hideMark/>
          </w:tcPr>
          <w:p w14:paraId="79D49A2E" w14:textId="77777777" w:rsidR="00896245" w:rsidRPr="00896245" w:rsidRDefault="00896245" w:rsidP="00896245">
            <w:pPr>
              <w:spacing w:line="240" w:lineRule="auto"/>
              <w:jc w:val="center"/>
              <w:rPr>
                <w:rFonts w:ascii="Times New Roman" w:eastAsia="Times New Roman" w:hAnsi="Times New Roman" w:cs="Times New Roman"/>
                <w:b/>
                <w:bCs/>
                <w:lang w:val="es-CO" w:eastAsia="es-CO"/>
              </w:rPr>
            </w:pPr>
            <w:r w:rsidRPr="00896245">
              <w:rPr>
                <w:rFonts w:ascii="Times New Roman" w:eastAsia="Times New Roman" w:hAnsi="Times New Roman" w:cs="Times New Roman"/>
                <w:b/>
                <w:bCs/>
                <w:sz w:val="20"/>
                <w:lang w:val="es-CO" w:eastAsia="es-CO"/>
              </w:rPr>
              <w:t>Notes</w:t>
            </w:r>
          </w:p>
        </w:tc>
      </w:tr>
      <w:tr w:rsidR="00896245" w:rsidRPr="00896245" w14:paraId="233FABD6" w14:textId="77777777" w:rsidTr="009F6CDC">
        <w:tc>
          <w:tcPr>
            <w:tcW w:w="1838" w:type="dxa"/>
            <w:hideMark/>
          </w:tcPr>
          <w:p w14:paraId="6A3F50F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Glucose</w:t>
            </w:r>
          </w:p>
        </w:tc>
        <w:tc>
          <w:tcPr>
            <w:tcW w:w="1833" w:type="dxa"/>
            <w:hideMark/>
          </w:tcPr>
          <w:p w14:paraId="1A12633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EX_glc__D[e]</w:t>
            </w:r>
          </w:p>
        </w:tc>
        <w:tc>
          <w:tcPr>
            <w:tcW w:w="0" w:type="auto"/>
            <w:hideMark/>
          </w:tcPr>
          <w:p w14:paraId="4E74C0A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C₆H₁₂O₆</w:t>
            </w:r>
          </w:p>
        </w:tc>
        <w:tc>
          <w:tcPr>
            <w:tcW w:w="0" w:type="auto"/>
            <w:hideMark/>
          </w:tcPr>
          <w:p w14:paraId="701046D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−5</w:t>
            </w:r>
          </w:p>
        </w:tc>
        <w:tc>
          <w:tcPr>
            <w:tcW w:w="0" w:type="auto"/>
            <w:hideMark/>
          </w:tcPr>
          <w:p w14:paraId="3B7ACDC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7135D23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Uptake (primary energy substrate)</w:t>
            </w:r>
          </w:p>
        </w:tc>
        <w:tc>
          <w:tcPr>
            <w:tcW w:w="0" w:type="auto"/>
            <w:hideMark/>
          </w:tcPr>
          <w:p w14:paraId="38CE704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Duarte et al., 2007</w:t>
            </w:r>
          </w:p>
        </w:tc>
        <w:tc>
          <w:tcPr>
            <w:tcW w:w="0" w:type="auto"/>
            <w:hideMark/>
          </w:tcPr>
          <w:p w14:paraId="62B64E0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Astrocyte / Neuron</w:t>
            </w:r>
          </w:p>
        </w:tc>
        <w:tc>
          <w:tcPr>
            <w:tcW w:w="0" w:type="auto"/>
            <w:hideMark/>
          </w:tcPr>
          <w:p w14:paraId="06DB39A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Core carbon source</w:t>
            </w:r>
          </w:p>
        </w:tc>
      </w:tr>
      <w:tr w:rsidR="00896245" w:rsidRPr="00896245" w14:paraId="01979EFE" w14:textId="77777777" w:rsidTr="009F6CDC">
        <w:tc>
          <w:tcPr>
            <w:tcW w:w="1838" w:type="dxa"/>
            <w:hideMark/>
          </w:tcPr>
          <w:p w14:paraId="5CB0075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Oxygen</w:t>
            </w:r>
          </w:p>
        </w:tc>
        <w:tc>
          <w:tcPr>
            <w:tcW w:w="1833" w:type="dxa"/>
            <w:hideMark/>
          </w:tcPr>
          <w:p w14:paraId="68172D5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EX_o2[e]</w:t>
            </w:r>
          </w:p>
        </w:tc>
        <w:tc>
          <w:tcPr>
            <w:tcW w:w="0" w:type="auto"/>
            <w:hideMark/>
          </w:tcPr>
          <w:p w14:paraId="5C34139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O₂</w:t>
            </w:r>
          </w:p>
        </w:tc>
        <w:tc>
          <w:tcPr>
            <w:tcW w:w="0" w:type="auto"/>
            <w:hideMark/>
          </w:tcPr>
          <w:p w14:paraId="54DF5FC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186AB87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5133EFF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Uptake (aerobic respiration)</w:t>
            </w:r>
          </w:p>
        </w:tc>
        <w:tc>
          <w:tcPr>
            <w:tcW w:w="0" w:type="auto"/>
            <w:hideMark/>
          </w:tcPr>
          <w:p w14:paraId="5089DA2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Lewis et al., 2010</w:t>
            </w:r>
          </w:p>
        </w:tc>
        <w:tc>
          <w:tcPr>
            <w:tcW w:w="0" w:type="auto"/>
            <w:hideMark/>
          </w:tcPr>
          <w:p w14:paraId="5382FAE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2E18AD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Required for oxidative phosphorylation</w:t>
            </w:r>
          </w:p>
        </w:tc>
      </w:tr>
      <w:tr w:rsidR="00896245" w:rsidRPr="00896245" w14:paraId="4E6C4FE8" w14:textId="77777777" w:rsidTr="009F6CDC">
        <w:tc>
          <w:tcPr>
            <w:tcW w:w="1838" w:type="dxa"/>
            <w:hideMark/>
          </w:tcPr>
          <w:p w14:paraId="30BB1DB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Lactate</w:t>
            </w:r>
          </w:p>
        </w:tc>
        <w:tc>
          <w:tcPr>
            <w:tcW w:w="1833" w:type="dxa"/>
            <w:hideMark/>
          </w:tcPr>
          <w:p w14:paraId="156EB13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EX_lac__L[e]</w:t>
            </w:r>
          </w:p>
        </w:tc>
        <w:tc>
          <w:tcPr>
            <w:tcW w:w="0" w:type="auto"/>
            <w:hideMark/>
          </w:tcPr>
          <w:p w14:paraId="529287B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C₃H₅O₃⁻</w:t>
            </w:r>
          </w:p>
        </w:tc>
        <w:tc>
          <w:tcPr>
            <w:tcW w:w="0" w:type="auto"/>
            <w:hideMark/>
          </w:tcPr>
          <w:p w14:paraId="5A6DD7D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42FEB04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26ACFB1E" w14:textId="77777777" w:rsidR="00FD21D1" w:rsidRDefault="00000000">
            <w:r>
              <w:rPr>
                <w:sz w:val="20"/>
              </w:rPr>
              <w:t>Predominant secretion</w:t>
            </w:r>
          </w:p>
        </w:tc>
        <w:tc>
          <w:tcPr>
            <w:tcW w:w="0" w:type="auto"/>
            <w:hideMark/>
          </w:tcPr>
          <w:p w14:paraId="794D9B3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Zielke et al., 1998</w:t>
            </w:r>
          </w:p>
        </w:tc>
        <w:tc>
          <w:tcPr>
            <w:tcW w:w="0" w:type="auto"/>
            <w:hideMark/>
          </w:tcPr>
          <w:p w14:paraId="31485FC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Astrocyte</w:t>
            </w:r>
          </w:p>
        </w:tc>
        <w:tc>
          <w:tcPr>
            <w:tcW w:w="0" w:type="auto"/>
            <w:hideMark/>
          </w:tcPr>
          <w:p w14:paraId="408F243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Astrocytic lactate export</w:t>
            </w:r>
          </w:p>
        </w:tc>
      </w:tr>
      <w:tr w:rsidR="00896245" w:rsidRPr="00896245" w14:paraId="5D0128F1" w14:textId="77777777" w:rsidTr="009F6CDC">
        <w:tc>
          <w:tcPr>
            <w:tcW w:w="1838" w:type="dxa"/>
            <w:hideMark/>
          </w:tcPr>
          <w:p w14:paraId="2C42448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Lactate</w:t>
            </w:r>
          </w:p>
        </w:tc>
        <w:tc>
          <w:tcPr>
            <w:tcW w:w="1833" w:type="dxa"/>
            <w:hideMark/>
          </w:tcPr>
          <w:p w14:paraId="054BF9A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EX_lac__L[e]</w:t>
            </w:r>
          </w:p>
        </w:tc>
        <w:tc>
          <w:tcPr>
            <w:tcW w:w="0" w:type="auto"/>
            <w:hideMark/>
          </w:tcPr>
          <w:p w14:paraId="4EB5A39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C₃H₅O₃⁻</w:t>
            </w:r>
          </w:p>
        </w:tc>
        <w:tc>
          <w:tcPr>
            <w:tcW w:w="0" w:type="auto"/>
            <w:hideMark/>
          </w:tcPr>
          <w:p w14:paraId="2951672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32EEAC0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0949EA6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Uptake</w:t>
            </w:r>
          </w:p>
        </w:tc>
        <w:tc>
          <w:tcPr>
            <w:tcW w:w="0" w:type="auto"/>
            <w:hideMark/>
          </w:tcPr>
          <w:p w14:paraId="73B30A5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Magistretti &amp; Allaman, 2018</w:t>
            </w:r>
          </w:p>
        </w:tc>
        <w:tc>
          <w:tcPr>
            <w:tcW w:w="0" w:type="auto"/>
            <w:hideMark/>
          </w:tcPr>
          <w:p w14:paraId="369FEAD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Neuron</w:t>
            </w:r>
          </w:p>
        </w:tc>
        <w:tc>
          <w:tcPr>
            <w:tcW w:w="0" w:type="auto"/>
            <w:hideMark/>
          </w:tcPr>
          <w:p w14:paraId="300222E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Neuronal lactate import</w:t>
            </w:r>
          </w:p>
        </w:tc>
      </w:tr>
      <w:tr w:rsidR="00896245" w:rsidRPr="00896245" w14:paraId="75283700" w14:textId="77777777" w:rsidTr="009F6CDC">
        <w:tc>
          <w:tcPr>
            <w:tcW w:w="1838" w:type="dxa"/>
            <w:hideMark/>
          </w:tcPr>
          <w:p w14:paraId="108C948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Glutamine</w:t>
            </w:r>
          </w:p>
        </w:tc>
        <w:tc>
          <w:tcPr>
            <w:tcW w:w="1833" w:type="dxa"/>
            <w:hideMark/>
          </w:tcPr>
          <w:p w14:paraId="7C2A8C8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EX_gln__L[e]</w:t>
            </w:r>
          </w:p>
        </w:tc>
        <w:tc>
          <w:tcPr>
            <w:tcW w:w="0" w:type="auto"/>
            <w:hideMark/>
          </w:tcPr>
          <w:p w14:paraId="075E0B8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C₅H₁₀N₂O₃</w:t>
            </w:r>
          </w:p>
        </w:tc>
        <w:tc>
          <w:tcPr>
            <w:tcW w:w="0" w:type="auto"/>
            <w:hideMark/>
          </w:tcPr>
          <w:p w14:paraId="3DEE31C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−3</w:t>
            </w:r>
          </w:p>
        </w:tc>
        <w:tc>
          <w:tcPr>
            <w:tcW w:w="0" w:type="auto"/>
            <w:hideMark/>
          </w:tcPr>
          <w:p w14:paraId="75F9A94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05DF721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Uptake (neurotransmitter precursor)</w:t>
            </w:r>
          </w:p>
        </w:tc>
        <w:tc>
          <w:tcPr>
            <w:tcW w:w="0" w:type="auto"/>
            <w:hideMark/>
          </w:tcPr>
          <w:p w14:paraId="552A7F45" w14:textId="77777777" w:rsidR="00FD21D1" w:rsidRDefault="00000000">
            <w:r>
              <w:rPr>
                <w:sz w:val="20"/>
              </w:rPr>
              <w:t>McKenna et al., 2013</w:t>
            </w:r>
          </w:p>
        </w:tc>
        <w:tc>
          <w:tcPr>
            <w:tcW w:w="0" w:type="auto"/>
            <w:hideMark/>
          </w:tcPr>
          <w:p w14:paraId="7CAEB02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54A91219" w14:textId="77777777" w:rsidR="00896245" w:rsidRPr="00896245" w:rsidRDefault="00896245" w:rsidP="00896245">
            <w:pPr>
              <w:spacing w:line="240" w:lineRule="auto"/>
              <w:rPr>
                <w:rFonts w:ascii="Times New Roman" w:eastAsia="Times New Roman" w:hAnsi="Times New Roman" w:cs="Times New Roman"/>
                <w:lang w:eastAsia="es-CO"/>
              </w:rPr>
            </w:pPr>
            <w:r w:rsidRPr="00896245">
              <w:rPr>
                <w:rFonts w:ascii="Times New Roman" w:eastAsia="Times New Roman" w:hAnsi="Times New Roman" w:cs="Times New Roman"/>
                <w:sz w:val="20"/>
                <w:lang w:eastAsia="es-CO"/>
              </w:rPr>
              <w:t>Part of Glu–Gln cycle</w:t>
            </w:r>
          </w:p>
        </w:tc>
      </w:tr>
      <w:tr w:rsidR="00896245" w:rsidRPr="00896245" w14:paraId="7D20CF47" w14:textId="77777777" w:rsidTr="009F6CDC">
        <w:tc>
          <w:tcPr>
            <w:tcW w:w="1838" w:type="dxa"/>
            <w:hideMark/>
          </w:tcPr>
          <w:p w14:paraId="22D2E6C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Glutamate</w:t>
            </w:r>
          </w:p>
        </w:tc>
        <w:tc>
          <w:tcPr>
            <w:tcW w:w="1833" w:type="dxa"/>
            <w:hideMark/>
          </w:tcPr>
          <w:p w14:paraId="0FEB0ED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EX_glu__L[e]</w:t>
            </w:r>
          </w:p>
        </w:tc>
        <w:tc>
          <w:tcPr>
            <w:tcW w:w="0" w:type="auto"/>
            <w:hideMark/>
          </w:tcPr>
          <w:p w14:paraId="47A6408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C₅H₉NO₄</w:t>
            </w:r>
          </w:p>
        </w:tc>
        <w:tc>
          <w:tcPr>
            <w:tcW w:w="0" w:type="auto"/>
            <w:hideMark/>
          </w:tcPr>
          <w:p w14:paraId="50073C4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w:t>
            </w:r>
          </w:p>
        </w:tc>
        <w:tc>
          <w:tcPr>
            <w:tcW w:w="0" w:type="auto"/>
            <w:hideMark/>
          </w:tcPr>
          <w:p w14:paraId="409FA46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w:t>
            </w:r>
          </w:p>
        </w:tc>
        <w:tc>
          <w:tcPr>
            <w:tcW w:w="0" w:type="auto"/>
            <w:hideMark/>
          </w:tcPr>
          <w:p w14:paraId="47735AB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Bidirectional exchange</w:t>
            </w:r>
          </w:p>
        </w:tc>
        <w:tc>
          <w:tcPr>
            <w:tcW w:w="0" w:type="auto"/>
            <w:hideMark/>
          </w:tcPr>
          <w:p w14:paraId="5A615DF2" w14:textId="77777777" w:rsidR="00FD21D1" w:rsidRDefault="00000000">
            <w:r>
              <w:rPr>
                <w:sz w:val="20"/>
              </w:rPr>
              <w:t>Sonnewald et al., 2014</w:t>
            </w:r>
          </w:p>
        </w:tc>
        <w:tc>
          <w:tcPr>
            <w:tcW w:w="0" w:type="auto"/>
            <w:hideMark/>
          </w:tcPr>
          <w:p w14:paraId="330C6CA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7EB1915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Neurotransmitter recycling</w:t>
            </w:r>
          </w:p>
        </w:tc>
      </w:tr>
      <w:tr w:rsidR="00896245" w:rsidRPr="00896245" w14:paraId="1806A454" w14:textId="77777777" w:rsidTr="009F6CDC">
        <w:tc>
          <w:tcPr>
            <w:tcW w:w="1838" w:type="dxa"/>
            <w:hideMark/>
          </w:tcPr>
          <w:p w14:paraId="6EBCC48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Aspartate</w:t>
            </w:r>
          </w:p>
        </w:tc>
        <w:tc>
          <w:tcPr>
            <w:tcW w:w="1833" w:type="dxa"/>
            <w:hideMark/>
          </w:tcPr>
          <w:p w14:paraId="5ACDA63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EX_asp__L[e]</w:t>
            </w:r>
          </w:p>
        </w:tc>
        <w:tc>
          <w:tcPr>
            <w:tcW w:w="0" w:type="auto"/>
            <w:hideMark/>
          </w:tcPr>
          <w:p w14:paraId="1E6DBCE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C₄H₆NO₄</w:t>
            </w:r>
          </w:p>
        </w:tc>
        <w:tc>
          <w:tcPr>
            <w:tcW w:w="0" w:type="auto"/>
            <w:hideMark/>
          </w:tcPr>
          <w:p w14:paraId="72F5DE7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5D64333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680D1FB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Shuttle metabolite</w:t>
            </w:r>
          </w:p>
        </w:tc>
        <w:tc>
          <w:tcPr>
            <w:tcW w:w="0" w:type="auto"/>
            <w:hideMark/>
          </w:tcPr>
          <w:p w14:paraId="5A878B4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Hertz et al., 2015</w:t>
            </w:r>
          </w:p>
        </w:tc>
        <w:tc>
          <w:tcPr>
            <w:tcW w:w="0" w:type="auto"/>
            <w:hideMark/>
          </w:tcPr>
          <w:p w14:paraId="1CF7C33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8080DC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Malate–aspartate shuttle</w:t>
            </w:r>
          </w:p>
        </w:tc>
      </w:tr>
      <w:tr w:rsidR="00896245" w:rsidRPr="00896245" w14:paraId="027E29F3" w14:textId="77777777" w:rsidTr="009F6CDC">
        <w:tc>
          <w:tcPr>
            <w:tcW w:w="1838" w:type="dxa"/>
            <w:hideMark/>
          </w:tcPr>
          <w:p w14:paraId="51DAF41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lastRenderedPageBreak/>
              <w:t>CO₂</w:t>
            </w:r>
          </w:p>
        </w:tc>
        <w:tc>
          <w:tcPr>
            <w:tcW w:w="1833" w:type="dxa"/>
            <w:hideMark/>
          </w:tcPr>
          <w:p w14:paraId="57D324C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EX_co2[e]</w:t>
            </w:r>
          </w:p>
        </w:tc>
        <w:tc>
          <w:tcPr>
            <w:tcW w:w="0" w:type="auto"/>
            <w:hideMark/>
          </w:tcPr>
          <w:p w14:paraId="5A37650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CO₂</w:t>
            </w:r>
          </w:p>
        </w:tc>
        <w:tc>
          <w:tcPr>
            <w:tcW w:w="0" w:type="auto"/>
            <w:hideMark/>
          </w:tcPr>
          <w:p w14:paraId="1A2C6D6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356CEAE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645DEB9F" w14:textId="77777777" w:rsidR="00FD21D1" w:rsidRDefault="00000000">
            <w:r>
              <w:rPr>
                <w:sz w:val="20"/>
              </w:rPr>
              <w:t>Predominant secretion</w:t>
            </w:r>
          </w:p>
        </w:tc>
        <w:tc>
          <w:tcPr>
            <w:tcW w:w="0" w:type="auto"/>
            <w:hideMark/>
          </w:tcPr>
          <w:p w14:paraId="1070839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4776098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16597F8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Respiration product</w:t>
            </w:r>
          </w:p>
        </w:tc>
      </w:tr>
      <w:tr w:rsidR="00896245" w:rsidRPr="00896245" w14:paraId="713630EF" w14:textId="77777777" w:rsidTr="009F6CDC">
        <w:tc>
          <w:tcPr>
            <w:tcW w:w="1838" w:type="dxa"/>
            <w:hideMark/>
          </w:tcPr>
          <w:p w14:paraId="3D1C02D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NH₄⁺</w:t>
            </w:r>
          </w:p>
        </w:tc>
        <w:tc>
          <w:tcPr>
            <w:tcW w:w="1833" w:type="dxa"/>
            <w:hideMark/>
          </w:tcPr>
          <w:p w14:paraId="76A557A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EX_nh4[e]</w:t>
            </w:r>
          </w:p>
        </w:tc>
        <w:tc>
          <w:tcPr>
            <w:tcW w:w="0" w:type="auto"/>
            <w:hideMark/>
          </w:tcPr>
          <w:p w14:paraId="4020B44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NH₄⁺</w:t>
            </w:r>
          </w:p>
        </w:tc>
        <w:tc>
          <w:tcPr>
            <w:tcW w:w="0" w:type="auto"/>
            <w:hideMark/>
          </w:tcPr>
          <w:p w14:paraId="41B1D9F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5F02E8F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02252362" w14:textId="77777777" w:rsidR="00FD21D1" w:rsidRDefault="00000000">
            <w:r>
              <w:rPr>
                <w:sz w:val="20"/>
              </w:rPr>
              <w:t>Predominant secretion (waste nitrogen)</w:t>
            </w:r>
          </w:p>
        </w:tc>
        <w:tc>
          <w:tcPr>
            <w:tcW w:w="0" w:type="auto"/>
            <w:hideMark/>
          </w:tcPr>
          <w:p w14:paraId="115473B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6FE8B6C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4DB9EFE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Ammonia detoxification</w:t>
            </w:r>
          </w:p>
        </w:tc>
      </w:tr>
      <w:tr w:rsidR="00896245" w:rsidRPr="00896245" w14:paraId="29D8478D" w14:textId="77777777" w:rsidTr="009F6CDC">
        <w:tc>
          <w:tcPr>
            <w:tcW w:w="1838" w:type="dxa"/>
            <w:hideMark/>
          </w:tcPr>
          <w:p w14:paraId="470038D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H₂O</w:t>
            </w:r>
          </w:p>
        </w:tc>
        <w:tc>
          <w:tcPr>
            <w:tcW w:w="1833" w:type="dxa"/>
            <w:hideMark/>
          </w:tcPr>
          <w:p w14:paraId="6E92294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EX_h2o[e]</w:t>
            </w:r>
          </w:p>
        </w:tc>
        <w:tc>
          <w:tcPr>
            <w:tcW w:w="0" w:type="auto"/>
            <w:hideMark/>
          </w:tcPr>
          <w:p w14:paraId="7847B04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H₂O</w:t>
            </w:r>
          </w:p>
        </w:tc>
        <w:tc>
          <w:tcPr>
            <w:tcW w:w="0" w:type="auto"/>
            <w:hideMark/>
          </w:tcPr>
          <w:p w14:paraId="7142D2A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2B97834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65CB1A4D" w14:textId="77777777" w:rsidR="00FD21D1" w:rsidRDefault="00000000">
            <w:r>
              <w:rPr>
                <w:sz w:val="20"/>
              </w:rPr>
              <w:t>Bidirectional exchange</w:t>
            </w:r>
          </w:p>
        </w:tc>
        <w:tc>
          <w:tcPr>
            <w:tcW w:w="0" w:type="auto"/>
            <w:hideMark/>
          </w:tcPr>
          <w:p w14:paraId="32C58AD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5F6CC57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ADFE16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Osmotic balance</w:t>
            </w:r>
          </w:p>
        </w:tc>
      </w:tr>
      <w:tr w:rsidR="00896245" w:rsidRPr="00896245" w14:paraId="40F8E8DF" w14:textId="77777777" w:rsidTr="009F6CDC">
        <w:tc>
          <w:tcPr>
            <w:tcW w:w="1838" w:type="dxa"/>
            <w:hideMark/>
          </w:tcPr>
          <w:p w14:paraId="693DB92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H⁺</w:t>
            </w:r>
          </w:p>
        </w:tc>
        <w:tc>
          <w:tcPr>
            <w:tcW w:w="1833" w:type="dxa"/>
            <w:hideMark/>
          </w:tcPr>
          <w:p w14:paraId="7FF5BBB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EX_h[e]</w:t>
            </w:r>
          </w:p>
        </w:tc>
        <w:tc>
          <w:tcPr>
            <w:tcW w:w="0" w:type="auto"/>
            <w:hideMark/>
          </w:tcPr>
          <w:p w14:paraId="112FBA3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H⁺</w:t>
            </w:r>
          </w:p>
        </w:tc>
        <w:tc>
          <w:tcPr>
            <w:tcW w:w="0" w:type="auto"/>
            <w:hideMark/>
          </w:tcPr>
          <w:p w14:paraId="6F08B71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3C659E2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3BBCE28D" w14:textId="77777777" w:rsidR="00FD21D1" w:rsidRDefault="00000000">
            <w:r>
              <w:rPr>
                <w:sz w:val="20"/>
              </w:rPr>
              <w:t>Bidirectional exchange</w:t>
            </w:r>
          </w:p>
        </w:tc>
        <w:tc>
          <w:tcPr>
            <w:tcW w:w="0" w:type="auto"/>
            <w:hideMark/>
          </w:tcPr>
          <w:p w14:paraId="1B73957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3C39055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728DB22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pH homeostasis</w:t>
            </w:r>
          </w:p>
        </w:tc>
      </w:tr>
      <w:tr w:rsidR="00896245" w:rsidRPr="00896245" w14:paraId="5C99350C" w14:textId="77777777" w:rsidTr="009F6CDC">
        <w:tc>
          <w:tcPr>
            <w:tcW w:w="1838" w:type="dxa"/>
            <w:hideMark/>
          </w:tcPr>
          <w:p w14:paraId="280A975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Na⁺</w:t>
            </w:r>
          </w:p>
        </w:tc>
        <w:tc>
          <w:tcPr>
            <w:tcW w:w="1833" w:type="dxa"/>
            <w:hideMark/>
          </w:tcPr>
          <w:p w14:paraId="395CC6C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EX_na1[e]</w:t>
            </w:r>
          </w:p>
        </w:tc>
        <w:tc>
          <w:tcPr>
            <w:tcW w:w="0" w:type="auto"/>
            <w:hideMark/>
          </w:tcPr>
          <w:p w14:paraId="3741FEB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Na⁺</w:t>
            </w:r>
          </w:p>
        </w:tc>
        <w:tc>
          <w:tcPr>
            <w:tcW w:w="0" w:type="auto"/>
            <w:hideMark/>
          </w:tcPr>
          <w:p w14:paraId="79D6283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27D2CA5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584C1F40" w14:textId="77777777" w:rsidR="00FD21D1" w:rsidRDefault="00000000">
            <w:r>
              <w:rPr>
                <w:sz w:val="20"/>
              </w:rPr>
              <w:t>Bidirectional exchange</w:t>
            </w:r>
          </w:p>
        </w:tc>
        <w:tc>
          <w:tcPr>
            <w:tcW w:w="0" w:type="auto"/>
            <w:hideMark/>
          </w:tcPr>
          <w:p w14:paraId="5BE9DF0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361DFC6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3769456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Ion gradient maintenance</w:t>
            </w:r>
          </w:p>
        </w:tc>
      </w:tr>
      <w:tr w:rsidR="00896245" w:rsidRPr="00896245" w14:paraId="21D09CEC" w14:textId="77777777" w:rsidTr="009F6CDC">
        <w:tc>
          <w:tcPr>
            <w:tcW w:w="1838" w:type="dxa"/>
            <w:hideMark/>
          </w:tcPr>
          <w:p w14:paraId="7C94EE0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K⁺</w:t>
            </w:r>
          </w:p>
        </w:tc>
        <w:tc>
          <w:tcPr>
            <w:tcW w:w="1833" w:type="dxa"/>
            <w:hideMark/>
          </w:tcPr>
          <w:p w14:paraId="787BF56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EX_k[e]</w:t>
            </w:r>
          </w:p>
        </w:tc>
        <w:tc>
          <w:tcPr>
            <w:tcW w:w="0" w:type="auto"/>
            <w:hideMark/>
          </w:tcPr>
          <w:p w14:paraId="46835F0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K⁺</w:t>
            </w:r>
          </w:p>
        </w:tc>
        <w:tc>
          <w:tcPr>
            <w:tcW w:w="0" w:type="auto"/>
            <w:hideMark/>
          </w:tcPr>
          <w:p w14:paraId="38E1F9F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50406CA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1000</w:t>
            </w:r>
          </w:p>
        </w:tc>
        <w:tc>
          <w:tcPr>
            <w:tcW w:w="0" w:type="auto"/>
            <w:hideMark/>
          </w:tcPr>
          <w:p w14:paraId="7B57C6E5" w14:textId="77777777" w:rsidR="00FD21D1" w:rsidRDefault="00000000">
            <w:r>
              <w:rPr>
                <w:sz w:val="20"/>
              </w:rPr>
              <w:t>Bidirectional exchange</w:t>
            </w:r>
          </w:p>
        </w:tc>
        <w:tc>
          <w:tcPr>
            <w:tcW w:w="0" w:type="auto"/>
            <w:hideMark/>
          </w:tcPr>
          <w:p w14:paraId="5E0381D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479973D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4FEE62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Neuronal repolarization</w:t>
            </w:r>
          </w:p>
        </w:tc>
      </w:tr>
      <w:tr w:rsidR="00896245" w:rsidRPr="00896245" w14:paraId="37B69146" w14:textId="77777777" w:rsidTr="009F6CDC">
        <w:tc>
          <w:tcPr>
            <w:tcW w:w="1838" w:type="dxa"/>
            <w:hideMark/>
          </w:tcPr>
          <w:p w14:paraId="5B20BE0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Ca²⁺</w:t>
            </w:r>
          </w:p>
        </w:tc>
        <w:tc>
          <w:tcPr>
            <w:tcW w:w="1833" w:type="dxa"/>
            <w:hideMark/>
          </w:tcPr>
          <w:p w14:paraId="122730D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EX_ca2[e]</w:t>
            </w:r>
          </w:p>
        </w:tc>
        <w:tc>
          <w:tcPr>
            <w:tcW w:w="0" w:type="auto"/>
            <w:hideMark/>
          </w:tcPr>
          <w:p w14:paraId="048A871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Ca²⁺</w:t>
            </w:r>
          </w:p>
        </w:tc>
        <w:tc>
          <w:tcPr>
            <w:tcW w:w="0" w:type="auto"/>
            <w:hideMark/>
          </w:tcPr>
          <w:p w14:paraId="516C8FE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w:t>
            </w:r>
          </w:p>
        </w:tc>
        <w:tc>
          <w:tcPr>
            <w:tcW w:w="0" w:type="auto"/>
            <w:hideMark/>
          </w:tcPr>
          <w:p w14:paraId="4CD8C2D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10</w:t>
            </w:r>
          </w:p>
        </w:tc>
        <w:tc>
          <w:tcPr>
            <w:tcW w:w="0" w:type="auto"/>
            <w:hideMark/>
          </w:tcPr>
          <w:p w14:paraId="71762790" w14:textId="77777777" w:rsidR="00FD21D1" w:rsidRDefault="00000000">
            <w:r>
              <w:rPr>
                <w:sz w:val="20"/>
              </w:rPr>
              <w:t>Bidirectional exchange</w:t>
            </w:r>
          </w:p>
        </w:tc>
        <w:tc>
          <w:tcPr>
            <w:tcW w:w="0" w:type="auto"/>
            <w:hideMark/>
          </w:tcPr>
          <w:p w14:paraId="4AB3A43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68AFCAF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3B0B332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Synaptic signaling</w:t>
            </w:r>
          </w:p>
        </w:tc>
      </w:tr>
      <w:tr w:rsidR="00896245" w:rsidRPr="00896245" w14:paraId="2304D0D1" w14:textId="77777777" w:rsidTr="009F6CDC">
        <w:tc>
          <w:tcPr>
            <w:tcW w:w="1838" w:type="dxa"/>
            <w:hideMark/>
          </w:tcPr>
          <w:p w14:paraId="71EFFB0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Cholesterol</w:t>
            </w:r>
          </w:p>
        </w:tc>
        <w:tc>
          <w:tcPr>
            <w:tcW w:w="1833" w:type="dxa"/>
            <w:hideMark/>
          </w:tcPr>
          <w:p w14:paraId="1E7F0CA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EX_chsterol[e]</w:t>
            </w:r>
          </w:p>
        </w:tc>
        <w:tc>
          <w:tcPr>
            <w:tcW w:w="0" w:type="auto"/>
            <w:hideMark/>
          </w:tcPr>
          <w:p w14:paraId="0B14F79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C₂₇H₄₆O</w:t>
            </w:r>
          </w:p>
        </w:tc>
        <w:tc>
          <w:tcPr>
            <w:tcW w:w="0" w:type="auto"/>
            <w:hideMark/>
          </w:tcPr>
          <w:p w14:paraId="3E6A8FE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−0.05</w:t>
            </w:r>
          </w:p>
        </w:tc>
        <w:tc>
          <w:tcPr>
            <w:tcW w:w="0" w:type="auto"/>
            <w:hideMark/>
          </w:tcPr>
          <w:p w14:paraId="191E7D8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0.05</w:t>
            </w:r>
          </w:p>
        </w:tc>
        <w:tc>
          <w:tcPr>
            <w:tcW w:w="0" w:type="auto"/>
            <w:hideMark/>
          </w:tcPr>
          <w:p w14:paraId="41C2BF9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Limited exchange</w:t>
            </w:r>
          </w:p>
        </w:tc>
        <w:tc>
          <w:tcPr>
            <w:tcW w:w="0" w:type="auto"/>
            <w:hideMark/>
          </w:tcPr>
          <w:p w14:paraId="673D075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Pfrieger &amp; Grosch, 2019</w:t>
            </w:r>
          </w:p>
        </w:tc>
        <w:tc>
          <w:tcPr>
            <w:tcW w:w="0" w:type="auto"/>
            <w:hideMark/>
          </w:tcPr>
          <w:p w14:paraId="2B4FFF6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Astrocyte</w:t>
            </w:r>
          </w:p>
        </w:tc>
        <w:tc>
          <w:tcPr>
            <w:tcW w:w="0" w:type="auto"/>
            <w:hideMark/>
          </w:tcPr>
          <w:p w14:paraId="370702D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Cholesterol supply to neurons</w:t>
            </w:r>
          </w:p>
        </w:tc>
      </w:tr>
      <w:tr w:rsidR="00896245" w:rsidRPr="00896245" w14:paraId="578EF7BB" w14:textId="77777777" w:rsidTr="009F6CDC">
        <w:tc>
          <w:tcPr>
            <w:tcW w:w="1838" w:type="dxa"/>
            <w:hideMark/>
          </w:tcPr>
          <w:p w14:paraId="0ACBAC2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Palmitate</w:t>
            </w:r>
          </w:p>
        </w:tc>
        <w:tc>
          <w:tcPr>
            <w:tcW w:w="1833" w:type="dxa"/>
            <w:hideMark/>
          </w:tcPr>
          <w:p w14:paraId="42993AC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EX_palm[e]</w:t>
            </w:r>
          </w:p>
        </w:tc>
        <w:tc>
          <w:tcPr>
            <w:tcW w:w="0" w:type="auto"/>
            <w:hideMark/>
          </w:tcPr>
          <w:p w14:paraId="0B70A48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C₁₆H₃₂O₂</w:t>
            </w:r>
          </w:p>
        </w:tc>
        <w:tc>
          <w:tcPr>
            <w:tcW w:w="0" w:type="auto"/>
            <w:hideMark/>
          </w:tcPr>
          <w:p w14:paraId="7B63DC4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−0.2</w:t>
            </w:r>
          </w:p>
        </w:tc>
        <w:tc>
          <w:tcPr>
            <w:tcW w:w="0" w:type="auto"/>
            <w:hideMark/>
          </w:tcPr>
          <w:p w14:paraId="410578F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0.2</w:t>
            </w:r>
          </w:p>
        </w:tc>
        <w:tc>
          <w:tcPr>
            <w:tcW w:w="0" w:type="auto"/>
            <w:hideMark/>
          </w:tcPr>
          <w:p w14:paraId="09FE5CF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Fatty-acid turnover</w:t>
            </w:r>
          </w:p>
        </w:tc>
        <w:tc>
          <w:tcPr>
            <w:tcW w:w="0" w:type="auto"/>
            <w:hideMark/>
          </w:tcPr>
          <w:p w14:paraId="7E425E2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Edmond et al., 1998</w:t>
            </w:r>
          </w:p>
        </w:tc>
        <w:tc>
          <w:tcPr>
            <w:tcW w:w="0" w:type="auto"/>
            <w:hideMark/>
          </w:tcPr>
          <w:p w14:paraId="5321FA5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Astrocyte</w:t>
            </w:r>
          </w:p>
        </w:tc>
        <w:tc>
          <w:tcPr>
            <w:tcW w:w="0" w:type="auto"/>
            <w:hideMark/>
          </w:tcPr>
          <w:p w14:paraId="598ED505" w14:textId="77777777" w:rsidR="00896245" w:rsidRPr="00896245" w:rsidRDefault="00896245" w:rsidP="00896245">
            <w:pPr>
              <w:spacing w:line="240" w:lineRule="auto"/>
              <w:rPr>
                <w:rFonts w:ascii="Times New Roman" w:eastAsia="Times New Roman" w:hAnsi="Times New Roman" w:cs="Times New Roman"/>
                <w:lang w:eastAsia="es-CO"/>
              </w:rPr>
            </w:pPr>
            <w:r w:rsidRPr="00896245">
              <w:rPr>
                <w:rFonts w:ascii="Times New Roman" w:eastAsia="Times New Roman" w:hAnsi="Times New Roman" w:cs="Times New Roman"/>
                <w:sz w:val="20"/>
                <w:lang w:val="es-CO" w:eastAsia="es-CO"/>
              </w:rPr>
              <w:t>β</w:t>
            </w:r>
            <w:r w:rsidRPr="00896245">
              <w:rPr>
                <w:rFonts w:ascii="Times New Roman" w:eastAsia="Times New Roman" w:hAnsi="Times New Roman" w:cs="Times New Roman"/>
                <w:sz w:val="20"/>
                <w:lang w:eastAsia="es-CO"/>
              </w:rPr>
              <w:t>-oxidation and lipid synthesis</w:t>
            </w:r>
          </w:p>
        </w:tc>
      </w:tr>
      <w:tr w:rsidR="00896245" w:rsidRPr="00896245" w14:paraId="71230280" w14:textId="77777777" w:rsidTr="009F6CDC">
        <w:tc>
          <w:tcPr>
            <w:tcW w:w="1838" w:type="dxa"/>
            <w:hideMark/>
          </w:tcPr>
          <w:p w14:paraId="22C2B5C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Ketone bodies (β-hydroxybutyrate)</w:t>
            </w:r>
          </w:p>
        </w:tc>
        <w:tc>
          <w:tcPr>
            <w:tcW w:w="1833" w:type="dxa"/>
            <w:hideMark/>
          </w:tcPr>
          <w:p w14:paraId="22C3410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EX_bhb[e]</w:t>
            </w:r>
          </w:p>
        </w:tc>
        <w:tc>
          <w:tcPr>
            <w:tcW w:w="0" w:type="auto"/>
            <w:hideMark/>
          </w:tcPr>
          <w:p w14:paraId="37A328F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C₄H₈O₃</w:t>
            </w:r>
          </w:p>
        </w:tc>
        <w:tc>
          <w:tcPr>
            <w:tcW w:w="0" w:type="auto"/>
            <w:hideMark/>
          </w:tcPr>
          <w:p w14:paraId="0967BA78"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−2</w:t>
            </w:r>
          </w:p>
        </w:tc>
        <w:tc>
          <w:tcPr>
            <w:tcW w:w="0" w:type="auto"/>
            <w:hideMark/>
          </w:tcPr>
          <w:p w14:paraId="6B69312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2</w:t>
            </w:r>
          </w:p>
        </w:tc>
        <w:tc>
          <w:tcPr>
            <w:tcW w:w="0" w:type="auto"/>
            <w:hideMark/>
          </w:tcPr>
          <w:p w14:paraId="3D90BCA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Alternative energy substrate</w:t>
            </w:r>
          </w:p>
        </w:tc>
        <w:tc>
          <w:tcPr>
            <w:tcW w:w="0" w:type="auto"/>
            <w:hideMark/>
          </w:tcPr>
          <w:p w14:paraId="74A13D2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Cunnane et al., 2011</w:t>
            </w:r>
          </w:p>
        </w:tc>
        <w:tc>
          <w:tcPr>
            <w:tcW w:w="0" w:type="auto"/>
            <w:hideMark/>
          </w:tcPr>
          <w:p w14:paraId="68B525F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Neuron</w:t>
            </w:r>
          </w:p>
        </w:tc>
        <w:tc>
          <w:tcPr>
            <w:tcW w:w="0" w:type="auto"/>
            <w:hideMark/>
          </w:tcPr>
          <w:p w14:paraId="087E522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Under fasting conditions</w:t>
            </w:r>
          </w:p>
        </w:tc>
      </w:tr>
      <w:tr w:rsidR="00896245" w:rsidRPr="00896245" w14:paraId="0414097C" w14:textId="77777777" w:rsidTr="009F6CDC">
        <w:tc>
          <w:tcPr>
            <w:tcW w:w="1838" w:type="dxa"/>
            <w:hideMark/>
          </w:tcPr>
          <w:p w14:paraId="6723E24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Pyruvate</w:t>
            </w:r>
          </w:p>
        </w:tc>
        <w:tc>
          <w:tcPr>
            <w:tcW w:w="1833" w:type="dxa"/>
            <w:hideMark/>
          </w:tcPr>
          <w:p w14:paraId="66ABDE4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EX_pyr[e]</w:t>
            </w:r>
          </w:p>
        </w:tc>
        <w:tc>
          <w:tcPr>
            <w:tcW w:w="0" w:type="auto"/>
            <w:hideMark/>
          </w:tcPr>
          <w:p w14:paraId="6A7A737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C₃H₃O₃⁻</w:t>
            </w:r>
          </w:p>
        </w:tc>
        <w:tc>
          <w:tcPr>
            <w:tcW w:w="0" w:type="auto"/>
            <w:hideMark/>
          </w:tcPr>
          <w:p w14:paraId="76ACDF9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w:t>
            </w:r>
          </w:p>
        </w:tc>
        <w:tc>
          <w:tcPr>
            <w:tcW w:w="0" w:type="auto"/>
            <w:hideMark/>
          </w:tcPr>
          <w:p w14:paraId="6109AC1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w:t>
            </w:r>
          </w:p>
        </w:tc>
        <w:tc>
          <w:tcPr>
            <w:tcW w:w="0" w:type="auto"/>
            <w:hideMark/>
          </w:tcPr>
          <w:p w14:paraId="4B1CF10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Uptake</w:t>
            </w:r>
          </w:p>
        </w:tc>
        <w:tc>
          <w:tcPr>
            <w:tcW w:w="0" w:type="auto"/>
            <w:hideMark/>
          </w:tcPr>
          <w:p w14:paraId="3058B77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Dienel 2019</w:t>
            </w:r>
          </w:p>
        </w:tc>
        <w:tc>
          <w:tcPr>
            <w:tcW w:w="0" w:type="auto"/>
            <w:hideMark/>
          </w:tcPr>
          <w:p w14:paraId="568278F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66677EF"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Glycolytic intermediate</w:t>
            </w:r>
          </w:p>
        </w:tc>
      </w:tr>
      <w:tr w:rsidR="00896245" w:rsidRPr="00896245" w14:paraId="009D0C81" w14:textId="77777777" w:rsidTr="009F6CDC">
        <w:tc>
          <w:tcPr>
            <w:tcW w:w="1838" w:type="dxa"/>
            <w:hideMark/>
          </w:tcPr>
          <w:p w14:paraId="0FBC7E9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Acetoacetate</w:t>
            </w:r>
          </w:p>
        </w:tc>
        <w:tc>
          <w:tcPr>
            <w:tcW w:w="1833" w:type="dxa"/>
            <w:hideMark/>
          </w:tcPr>
          <w:p w14:paraId="4D52191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EX_acac[e]</w:t>
            </w:r>
          </w:p>
        </w:tc>
        <w:tc>
          <w:tcPr>
            <w:tcW w:w="0" w:type="auto"/>
            <w:hideMark/>
          </w:tcPr>
          <w:p w14:paraId="619948D7"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C₄H₆O₃</w:t>
            </w:r>
          </w:p>
        </w:tc>
        <w:tc>
          <w:tcPr>
            <w:tcW w:w="0" w:type="auto"/>
            <w:hideMark/>
          </w:tcPr>
          <w:p w14:paraId="508C56D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w:t>
            </w:r>
          </w:p>
        </w:tc>
        <w:tc>
          <w:tcPr>
            <w:tcW w:w="0" w:type="auto"/>
            <w:hideMark/>
          </w:tcPr>
          <w:p w14:paraId="32ED58A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1</w:t>
            </w:r>
          </w:p>
        </w:tc>
        <w:tc>
          <w:tcPr>
            <w:tcW w:w="0" w:type="auto"/>
            <w:hideMark/>
          </w:tcPr>
          <w:p w14:paraId="566F5FA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Bidirectional exchange</w:t>
            </w:r>
          </w:p>
        </w:tc>
        <w:tc>
          <w:tcPr>
            <w:tcW w:w="0" w:type="auto"/>
            <w:hideMark/>
          </w:tcPr>
          <w:p w14:paraId="09B65B9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33E4B7B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686833E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Ketone utilization</w:t>
            </w:r>
          </w:p>
        </w:tc>
      </w:tr>
      <w:tr w:rsidR="00896245" w:rsidRPr="00896245" w14:paraId="5BBE1028" w14:textId="77777777" w:rsidTr="009F6CDC">
        <w:tc>
          <w:tcPr>
            <w:tcW w:w="1838" w:type="dxa"/>
            <w:hideMark/>
          </w:tcPr>
          <w:p w14:paraId="23F5589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Serine</w:t>
            </w:r>
          </w:p>
        </w:tc>
        <w:tc>
          <w:tcPr>
            <w:tcW w:w="1833" w:type="dxa"/>
            <w:hideMark/>
          </w:tcPr>
          <w:p w14:paraId="1653E39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EX_ser__L[e]</w:t>
            </w:r>
          </w:p>
        </w:tc>
        <w:tc>
          <w:tcPr>
            <w:tcW w:w="0" w:type="auto"/>
            <w:hideMark/>
          </w:tcPr>
          <w:p w14:paraId="2B4EAAD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C₃H₇NO₃</w:t>
            </w:r>
          </w:p>
        </w:tc>
        <w:tc>
          <w:tcPr>
            <w:tcW w:w="0" w:type="auto"/>
            <w:hideMark/>
          </w:tcPr>
          <w:p w14:paraId="03FD359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23FEA40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7AE6CC5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Amino-acid shuttle</w:t>
            </w:r>
          </w:p>
        </w:tc>
        <w:tc>
          <w:tcPr>
            <w:tcW w:w="0" w:type="auto"/>
            <w:hideMark/>
          </w:tcPr>
          <w:p w14:paraId="033ACFA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023C52C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5F41008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One-carbon metabolism</w:t>
            </w:r>
          </w:p>
        </w:tc>
      </w:tr>
      <w:tr w:rsidR="00896245" w:rsidRPr="00896245" w14:paraId="38CD0E3E" w14:textId="77777777" w:rsidTr="009F6CDC">
        <w:tc>
          <w:tcPr>
            <w:tcW w:w="1838" w:type="dxa"/>
            <w:hideMark/>
          </w:tcPr>
          <w:p w14:paraId="257EADEB"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Alanine</w:t>
            </w:r>
          </w:p>
        </w:tc>
        <w:tc>
          <w:tcPr>
            <w:tcW w:w="1833" w:type="dxa"/>
            <w:hideMark/>
          </w:tcPr>
          <w:p w14:paraId="07E2CC9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EX_ala__L[e]</w:t>
            </w:r>
          </w:p>
        </w:tc>
        <w:tc>
          <w:tcPr>
            <w:tcW w:w="0" w:type="auto"/>
            <w:hideMark/>
          </w:tcPr>
          <w:p w14:paraId="22D07E6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C₃H₇NO₂</w:t>
            </w:r>
          </w:p>
        </w:tc>
        <w:tc>
          <w:tcPr>
            <w:tcW w:w="0" w:type="auto"/>
            <w:hideMark/>
          </w:tcPr>
          <w:p w14:paraId="338CEC76"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40583E9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0.5</w:t>
            </w:r>
          </w:p>
        </w:tc>
        <w:tc>
          <w:tcPr>
            <w:tcW w:w="0" w:type="auto"/>
            <w:hideMark/>
          </w:tcPr>
          <w:p w14:paraId="1464F00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Amino-acid exchange</w:t>
            </w:r>
          </w:p>
        </w:tc>
        <w:tc>
          <w:tcPr>
            <w:tcW w:w="0" w:type="auto"/>
            <w:hideMark/>
          </w:tcPr>
          <w:p w14:paraId="7F5934F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1C514A8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75A43D3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Pyruvate shuttle</w:t>
            </w:r>
          </w:p>
        </w:tc>
      </w:tr>
      <w:tr w:rsidR="00896245" w:rsidRPr="00896245" w14:paraId="29EFD196" w14:textId="77777777" w:rsidTr="009F6CDC">
        <w:tc>
          <w:tcPr>
            <w:tcW w:w="1838" w:type="dxa"/>
            <w:hideMark/>
          </w:tcPr>
          <w:p w14:paraId="2DA8414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Ascorbate</w:t>
            </w:r>
          </w:p>
        </w:tc>
        <w:tc>
          <w:tcPr>
            <w:tcW w:w="1833" w:type="dxa"/>
            <w:hideMark/>
          </w:tcPr>
          <w:p w14:paraId="2ADC479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EX_ascb[e]</w:t>
            </w:r>
          </w:p>
        </w:tc>
        <w:tc>
          <w:tcPr>
            <w:tcW w:w="0" w:type="auto"/>
            <w:hideMark/>
          </w:tcPr>
          <w:p w14:paraId="5FB216D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C₆H₇O₆⁻</w:t>
            </w:r>
          </w:p>
        </w:tc>
        <w:tc>
          <w:tcPr>
            <w:tcW w:w="0" w:type="auto"/>
            <w:hideMark/>
          </w:tcPr>
          <w:p w14:paraId="4E22DA1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2A14C59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79EC547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Antioxidant uptake</w:t>
            </w:r>
          </w:p>
        </w:tc>
        <w:tc>
          <w:tcPr>
            <w:tcW w:w="0" w:type="auto"/>
            <w:hideMark/>
          </w:tcPr>
          <w:p w14:paraId="7A72598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Rice &amp; Russo-Menna 1998</w:t>
            </w:r>
          </w:p>
        </w:tc>
        <w:tc>
          <w:tcPr>
            <w:tcW w:w="0" w:type="auto"/>
            <w:hideMark/>
          </w:tcPr>
          <w:p w14:paraId="0FE1CF0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Neuron</w:t>
            </w:r>
          </w:p>
        </w:tc>
        <w:tc>
          <w:tcPr>
            <w:tcW w:w="0" w:type="auto"/>
            <w:hideMark/>
          </w:tcPr>
          <w:p w14:paraId="64D0664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Vitamin C transport</w:t>
            </w:r>
          </w:p>
        </w:tc>
      </w:tr>
      <w:tr w:rsidR="00896245" w:rsidRPr="00896245" w14:paraId="63FF0C08" w14:textId="77777777" w:rsidTr="009F6CDC">
        <w:tc>
          <w:tcPr>
            <w:tcW w:w="1838" w:type="dxa"/>
            <w:hideMark/>
          </w:tcPr>
          <w:p w14:paraId="704838A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lastRenderedPageBreak/>
              <w:t>Glutathione</w:t>
            </w:r>
          </w:p>
        </w:tc>
        <w:tc>
          <w:tcPr>
            <w:tcW w:w="1833" w:type="dxa"/>
            <w:hideMark/>
          </w:tcPr>
          <w:p w14:paraId="1DB1BA8E"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EX_gthrd[e]</w:t>
            </w:r>
          </w:p>
        </w:tc>
        <w:tc>
          <w:tcPr>
            <w:tcW w:w="0" w:type="auto"/>
            <w:hideMark/>
          </w:tcPr>
          <w:p w14:paraId="464E9E4C"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C₁₀H₁₇N₃O₆S</w:t>
            </w:r>
          </w:p>
        </w:tc>
        <w:tc>
          <w:tcPr>
            <w:tcW w:w="0" w:type="auto"/>
            <w:hideMark/>
          </w:tcPr>
          <w:p w14:paraId="511B92B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29D9414A"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0EAA8B8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Redox buffer</w:t>
            </w:r>
          </w:p>
        </w:tc>
        <w:tc>
          <w:tcPr>
            <w:tcW w:w="0" w:type="auto"/>
            <w:hideMark/>
          </w:tcPr>
          <w:p w14:paraId="3FB867A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Dringen 2000</w:t>
            </w:r>
          </w:p>
        </w:tc>
        <w:tc>
          <w:tcPr>
            <w:tcW w:w="0" w:type="auto"/>
            <w:hideMark/>
          </w:tcPr>
          <w:p w14:paraId="206C694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Astrocyte</w:t>
            </w:r>
          </w:p>
        </w:tc>
        <w:tc>
          <w:tcPr>
            <w:tcW w:w="0" w:type="auto"/>
            <w:hideMark/>
          </w:tcPr>
          <w:p w14:paraId="7A107254"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Secreted antioxidant</w:t>
            </w:r>
          </w:p>
        </w:tc>
      </w:tr>
      <w:tr w:rsidR="00896245" w:rsidRPr="00896245" w14:paraId="0913959B" w14:textId="77777777" w:rsidTr="009F6CDC">
        <w:tc>
          <w:tcPr>
            <w:tcW w:w="1838" w:type="dxa"/>
            <w:hideMark/>
          </w:tcPr>
          <w:p w14:paraId="4A7D70F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b/>
                <w:bCs/>
                <w:sz w:val="20"/>
                <w:lang w:val="es-CO" w:eastAsia="es-CO"/>
              </w:rPr>
              <w:t>Formate</w:t>
            </w:r>
          </w:p>
        </w:tc>
        <w:tc>
          <w:tcPr>
            <w:tcW w:w="1833" w:type="dxa"/>
            <w:hideMark/>
          </w:tcPr>
          <w:p w14:paraId="49646AD5"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EX_for[e]</w:t>
            </w:r>
          </w:p>
        </w:tc>
        <w:tc>
          <w:tcPr>
            <w:tcW w:w="0" w:type="auto"/>
            <w:hideMark/>
          </w:tcPr>
          <w:p w14:paraId="2C634DD0"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CHOO⁻</w:t>
            </w:r>
          </w:p>
        </w:tc>
        <w:tc>
          <w:tcPr>
            <w:tcW w:w="0" w:type="auto"/>
            <w:hideMark/>
          </w:tcPr>
          <w:p w14:paraId="78ACF5A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1E583639"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0.1</w:t>
            </w:r>
          </w:p>
        </w:tc>
        <w:tc>
          <w:tcPr>
            <w:tcW w:w="0" w:type="auto"/>
            <w:hideMark/>
          </w:tcPr>
          <w:p w14:paraId="3924F19D"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One-carbon flux</w:t>
            </w:r>
          </w:p>
        </w:tc>
        <w:tc>
          <w:tcPr>
            <w:tcW w:w="0" w:type="auto"/>
            <w:hideMark/>
          </w:tcPr>
          <w:p w14:paraId="5955E3C2"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w:t>
            </w:r>
          </w:p>
        </w:tc>
        <w:tc>
          <w:tcPr>
            <w:tcW w:w="0" w:type="auto"/>
            <w:hideMark/>
          </w:tcPr>
          <w:p w14:paraId="4F0F6D81"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Both</w:t>
            </w:r>
          </w:p>
        </w:tc>
        <w:tc>
          <w:tcPr>
            <w:tcW w:w="0" w:type="auto"/>
            <w:hideMark/>
          </w:tcPr>
          <w:p w14:paraId="1DE8DA83" w14:textId="77777777" w:rsidR="00896245" w:rsidRPr="00896245" w:rsidRDefault="00896245" w:rsidP="00896245">
            <w:pPr>
              <w:spacing w:line="240" w:lineRule="auto"/>
              <w:rPr>
                <w:rFonts w:ascii="Times New Roman" w:eastAsia="Times New Roman" w:hAnsi="Times New Roman" w:cs="Times New Roman"/>
                <w:lang w:val="es-CO" w:eastAsia="es-CO"/>
              </w:rPr>
            </w:pPr>
            <w:r w:rsidRPr="00896245">
              <w:rPr>
                <w:rFonts w:ascii="Times New Roman" w:eastAsia="Times New Roman" w:hAnsi="Times New Roman" w:cs="Times New Roman"/>
                <w:sz w:val="20"/>
                <w:lang w:val="es-CO" w:eastAsia="es-CO"/>
              </w:rPr>
              <w:t>Folate cycle</w:t>
            </w:r>
          </w:p>
        </w:tc>
      </w:tr>
    </w:tbl>
    <w:p w14:paraId="4F5F0FC2" w14:textId="77777777" w:rsidR="00896245" w:rsidRDefault="00896245" w:rsidP="005F36A6">
      <w:pPr>
        <w:spacing w:line="360" w:lineRule="auto"/>
        <w:jc w:val="both"/>
        <w:rPr>
          <w:rFonts w:ascii="Times New Roman" w:eastAsia="Times New Roman" w:hAnsi="Times New Roman" w:cs="Times New Roman"/>
          <w:b/>
          <w:bCs/>
          <w:color w:val="000000" w:themeColor="text1"/>
        </w:rPr>
      </w:pPr>
    </w:p>
    <w:p w14:paraId="0CEC6503" w14:textId="77777777" w:rsidR="00896245" w:rsidRDefault="00896245" w:rsidP="005F36A6">
      <w:pPr>
        <w:spacing w:line="360" w:lineRule="auto"/>
        <w:jc w:val="both"/>
        <w:rPr>
          <w:rFonts w:ascii="Times New Roman" w:eastAsia="Times New Roman" w:hAnsi="Times New Roman" w:cs="Times New Roman"/>
          <w:b/>
          <w:bCs/>
          <w:color w:val="000000" w:themeColor="text1"/>
        </w:rPr>
      </w:pPr>
    </w:p>
    <w:sectPr w:rsidR="00896245" w:rsidSect="00896245">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A6"/>
    <w:rsid w:val="000B3282"/>
    <w:rsid w:val="001E6FA9"/>
    <w:rsid w:val="00264B45"/>
    <w:rsid w:val="00484F5B"/>
    <w:rsid w:val="005F36A6"/>
    <w:rsid w:val="0068028C"/>
    <w:rsid w:val="00896245"/>
    <w:rsid w:val="009F6CDC"/>
    <w:rsid w:val="00B4719E"/>
    <w:rsid w:val="00D2640C"/>
    <w:rsid w:val="00E8010E"/>
    <w:rsid w:val="00F06D83"/>
    <w:rsid w:val="00FB4881"/>
    <w:rsid w:val="00FD21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E177"/>
  <w15:chartTrackingRefBased/>
  <w15:docId w15:val="{54DA0B6F-0F93-474C-98E0-40015BAE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6A6"/>
    <w:pPr>
      <w:spacing w:line="279" w:lineRule="auto"/>
    </w:pPr>
    <w:rPr>
      <w:rFonts w:eastAsiaTheme="minorEastAsia"/>
      <w:sz w:val="24"/>
      <w:szCs w:val="24"/>
      <w:lang w:val="en-U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F36A6"/>
    <w:pPr>
      <w:spacing w:after="0" w:line="240" w:lineRule="auto"/>
    </w:pPr>
    <w:rPr>
      <w:rFonts w:asciiTheme="majorHAnsi" w:hAnsiTheme="maj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96245"/>
    <w:rPr>
      <w:b/>
      <w:bCs/>
    </w:rPr>
  </w:style>
  <w:style w:type="character" w:styleId="Refdecomentario">
    <w:name w:val="annotation reference"/>
    <w:basedOn w:val="Fuentedeprrafopredeter"/>
    <w:uiPriority w:val="99"/>
    <w:semiHidden/>
    <w:unhideWhenUsed/>
    <w:rsid w:val="00D2640C"/>
    <w:rPr>
      <w:sz w:val="16"/>
      <w:szCs w:val="16"/>
    </w:rPr>
  </w:style>
  <w:style w:type="paragraph" w:styleId="Textocomentario">
    <w:name w:val="annotation text"/>
    <w:basedOn w:val="Normal"/>
    <w:link w:val="TextocomentarioCar"/>
    <w:uiPriority w:val="99"/>
    <w:unhideWhenUsed/>
    <w:rsid w:val="00D2640C"/>
    <w:pPr>
      <w:spacing w:line="240" w:lineRule="auto"/>
    </w:pPr>
    <w:rPr>
      <w:sz w:val="20"/>
      <w:szCs w:val="20"/>
    </w:rPr>
  </w:style>
  <w:style w:type="character" w:customStyle="1" w:styleId="TextocomentarioCar">
    <w:name w:val="Texto comentario Car"/>
    <w:basedOn w:val="Fuentedeprrafopredeter"/>
    <w:link w:val="Textocomentario"/>
    <w:uiPriority w:val="99"/>
    <w:rsid w:val="00D2640C"/>
    <w:rPr>
      <w:rFonts w:eastAsiaTheme="minorEastAsia"/>
      <w:sz w:val="20"/>
      <w:szCs w:val="20"/>
      <w:lang w:val="en-US" w:eastAsia="ja-JP"/>
    </w:rPr>
  </w:style>
  <w:style w:type="paragraph" w:styleId="Asuntodelcomentario">
    <w:name w:val="annotation subject"/>
    <w:basedOn w:val="Textocomentario"/>
    <w:next w:val="Textocomentario"/>
    <w:link w:val="AsuntodelcomentarioCar"/>
    <w:uiPriority w:val="99"/>
    <w:semiHidden/>
    <w:unhideWhenUsed/>
    <w:rsid w:val="00D2640C"/>
    <w:rPr>
      <w:b/>
      <w:bCs/>
    </w:rPr>
  </w:style>
  <w:style w:type="character" w:customStyle="1" w:styleId="AsuntodelcomentarioCar">
    <w:name w:val="Asunto del comentario Car"/>
    <w:basedOn w:val="TextocomentarioCar"/>
    <w:link w:val="Asuntodelcomentario"/>
    <w:uiPriority w:val="99"/>
    <w:semiHidden/>
    <w:rsid w:val="00D2640C"/>
    <w:rPr>
      <w:rFonts w:eastAsiaTheme="minorEastAsia"/>
      <w:b/>
      <w:bCs/>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463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561</Words>
  <Characters>3087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Andrea Angarita Rodriguez</dc:creator>
  <cp:keywords/>
  <dc:description/>
  <cp:lastModifiedBy>Maria Andrea Angarita Rodriguez</cp:lastModifiedBy>
  <cp:revision>5</cp:revision>
  <dcterms:created xsi:type="dcterms:W3CDTF">2026-07-13T23:45:00Z</dcterms:created>
  <dcterms:modified xsi:type="dcterms:W3CDTF">2026-08-15T20:57:00Z</dcterms:modified>
</cp:coreProperties>
</file>