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C687DA" w14:textId="6D47364A" w:rsidR="004A4C44" w:rsidRDefault="00F06D83" w:rsidP="000B5AA1">
      <w:pPr>
        <w:jc w:val="both"/>
        <w:rPr>
          <w:rFonts w:ascii="Times New Roman" w:eastAsia="Times New Roman" w:hAnsi="Times New Roman" w:cs="Times New Roman"/>
          <w:color w:val="000000" w:themeColor="text1"/>
        </w:rPr>
      </w:pPr>
      <w:r>
        <w:rPr>
          <w:sz w:val="20"/>
        </w:rPr>
        <w:t>Supplementary Table S3. Functional composition of the biomass maintenance reactions used as metabolic maintenance objective functions in the astrocyte and GABAergic neuron genome-scale metabolic models. Because mature astrocytes and neurons are non-proliferative cells, biomass reactions were interpreted as surrogate objective functions representing cellular metabolic maintenance rather than cell proliferation. The biomass reactions include the principal metabolic precursors required to sustain membrane turnover, macromolecular renewal, neurotransmitter metabolism, redox homeostasis, and cellular bioenergetics. These reactions were inherited from the original cell-specific genome-scale metabolic reconstructions and were used without structural modification during construction of the astrocyte–GABAergic neuron community model.</w:t>
      </w:r>
    </w:p>
    <w:tbl>
      <w:tblPr>
        <w:tblStyle w:val="Tablaconcuadrcula"/>
        <w:tblW w:w="0" w:type="auto"/>
        <w:tblLook w:val="04A0" w:firstRow="1" w:lastRow="0" w:firstColumn="1" w:lastColumn="0" w:noHBand="0" w:noVBand="1"/>
      </w:tblPr>
      <w:tblGrid>
        <w:gridCol w:w="2183"/>
        <w:gridCol w:w="4090"/>
        <w:gridCol w:w="2658"/>
        <w:gridCol w:w="1324"/>
        <w:gridCol w:w="1644"/>
        <w:gridCol w:w="1097"/>
      </w:tblGrid>
      <w:tr w:rsidR="000B5AA1" w:rsidRPr="000B5AA1" w14:paraId="1836333D" w14:textId="77777777" w:rsidTr="000B5AA1">
        <w:tc>
          <w:tcPr>
            <w:tcW w:w="0" w:type="auto"/>
            <w:vAlign w:val="center"/>
            <w:hideMark/>
          </w:tcPr>
          <w:p w14:paraId="5E7EFB00" w14:textId="77777777" w:rsidR="000B5AA1" w:rsidRPr="000B5AA1" w:rsidRDefault="000B5AA1" w:rsidP="000B5AA1">
            <w:pPr>
              <w:spacing w:after="160"/>
              <w:jc w:val="center"/>
              <w:rPr>
                <w:rFonts w:ascii="Times New Roman" w:eastAsia="Times New Roman" w:hAnsi="Times New Roman" w:cs="Times New Roman"/>
                <w:b/>
                <w:bCs/>
                <w:color w:val="000000" w:themeColor="text1"/>
                <w:lang w:val="es-CO"/>
              </w:rPr>
            </w:pPr>
            <w:r w:rsidRPr="000B5AA1">
              <w:rPr>
                <w:rFonts w:ascii="Times New Roman" w:eastAsia="Times New Roman" w:hAnsi="Times New Roman" w:cs="Times New Roman"/>
                <w:b/>
                <w:bCs/>
                <w:color w:val="000000" w:themeColor="text1"/>
                <w:sz w:val="20"/>
                <w:lang w:val="es-CO"/>
              </w:rPr>
              <w:t>Functional category</w:t>
            </w:r>
          </w:p>
        </w:tc>
        <w:tc>
          <w:tcPr>
            <w:tcW w:w="0" w:type="auto"/>
            <w:vAlign w:val="center"/>
            <w:hideMark/>
          </w:tcPr>
          <w:p w14:paraId="48701580" w14:textId="77777777" w:rsidR="000B5AA1" w:rsidRPr="000B5AA1" w:rsidRDefault="000B5AA1" w:rsidP="000B5AA1">
            <w:pPr>
              <w:spacing w:after="160"/>
              <w:jc w:val="center"/>
              <w:rPr>
                <w:rFonts w:ascii="Times New Roman" w:eastAsia="Times New Roman" w:hAnsi="Times New Roman" w:cs="Times New Roman"/>
                <w:b/>
                <w:bCs/>
                <w:color w:val="000000" w:themeColor="text1"/>
                <w:lang w:val="es-CO"/>
              </w:rPr>
            </w:pPr>
            <w:r w:rsidRPr="000B5AA1">
              <w:rPr>
                <w:rFonts w:ascii="Times New Roman" w:eastAsia="Times New Roman" w:hAnsi="Times New Roman" w:cs="Times New Roman"/>
                <w:b/>
                <w:bCs/>
                <w:color w:val="000000" w:themeColor="text1"/>
                <w:sz w:val="20"/>
                <w:lang w:val="es-CO"/>
              </w:rPr>
              <w:t>Representative biomass precursors</w:t>
            </w:r>
          </w:p>
        </w:tc>
        <w:tc>
          <w:tcPr>
            <w:tcW w:w="0" w:type="auto"/>
            <w:vAlign w:val="center"/>
            <w:hideMark/>
          </w:tcPr>
          <w:p w14:paraId="0EF5BBED" w14:textId="77777777" w:rsidR="000B5AA1" w:rsidRPr="000B5AA1" w:rsidRDefault="000B5AA1" w:rsidP="000B5AA1">
            <w:pPr>
              <w:spacing w:after="160"/>
              <w:jc w:val="center"/>
              <w:rPr>
                <w:rFonts w:ascii="Times New Roman" w:eastAsia="Times New Roman" w:hAnsi="Times New Roman" w:cs="Times New Roman"/>
                <w:b/>
                <w:bCs/>
                <w:color w:val="000000" w:themeColor="text1"/>
                <w:lang w:val="es-CO"/>
              </w:rPr>
            </w:pPr>
            <w:r w:rsidRPr="000B5AA1">
              <w:rPr>
                <w:rFonts w:ascii="Times New Roman" w:eastAsia="Times New Roman" w:hAnsi="Times New Roman" w:cs="Times New Roman"/>
                <w:b/>
                <w:bCs/>
                <w:color w:val="000000" w:themeColor="text1"/>
                <w:sz w:val="20"/>
                <w:lang w:val="es-CO"/>
              </w:rPr>
              <w:t>Primary biological role</w:t>
            </w:r>
          </w:p>
        </w:tc>
        <w:tc>
          <w:tcPr>
            <w:tcW w:w="0" w:type="auto"/>
            <w:vAlign w:val="center"/>
            <w:hideMark/>
          </w:tcPr>
          <w:p w14:paraId="04372035" w14:textId="77777777" w:rsidR="000B5AA1" w:rsidRPr="000B5AA1" w:rsidRDefault="000B5AA1" w:rsidP="000B5AA1">
            <w:pPr>
              <w:spacing w:after="160"/>
              <w:jc w:val="center"/>
              <w:rPr>
                <w:rFonts w:ascii="Times New Roman" w:eastAsia="Times New Roman" w:hAnsi="Times New Roman" w:cs="Times New Roman"/>
                <w:b/>
                <w:bCs/>
                <w:color w:val="000000" w:themeColor="text1"/>
                <w:lang w:val="es-CO"/>
              </w:rPr>
            </w:pPr>
            <w:r w:rsidRPr="000B5AA1">
              <w:rPr>
                <w:rFonts w:ascii="Times New Roman" w:eastAsia="Times New Roman" w:hAnsi="Times New Roman" w:cs="Times New Roman"/>
                <w:b/>
                <w:bCs/>
                <w:color w:val="000000" w:themeColor="text1"/>
                <w:sz w:val="20"/>
                <w:lang w:val="es-CO"/>
              </w:rPr>
              <w:t>Astrocyte biomass</w:t>
            </w:r>
          </w:p>
        </w:tc>
        <w:tc>
          <w:tcPr>
            <w:tcW w:w="0" w:type="auto"/>
            <w:vAlign w:val="center"/>
            <w:hideMark/>
          </w:tcPr>
          <w:p w14:paraId="51DB5211" w14:textId="77777777" w:rsidR="000B5AA1" w:rsidRPr="000B5AA1" w:rsidRDefault="000B5AA1" w:rsidP="000B5AA1">
            <w:pPr>
              <w:spacing w:after="160"/>
              <w:jc w:val="center"/>
              <w:rPr>
                <w:rFonts w:ascii="Times New Roman" w:eastAsia="Times New Roman" w:hAnsi="Times New Roman" w:cs="Times New Roman"/>
                <w:b/>
                <w:bCs/>
                <w:color w:val="000000" w:themeColor="text1"/>
                <w:lang w:val="es-CO"/>
              </w:rPr>
            </w:pPr>
            <w:r w:rsidRPr="000B5AA1">
              <w:rPr>
                <w:rFonts w:ascii="Times New Roman" w:eastAsia="Times New Roman" w:hAnsi="Times New Roman" w:cs="Times New Roman"/>
                <w:b/>
                <w:bCs/>
                <w:color w:val="000000" w:themeColor="text1"/>
                <w:sz w:val="20"/>
                <w:lang w:val="es-CO"/>
              </w:rPr>
              <w:t>GABAergic neuron biomass</w:t>
            </w:r>
          </w:p>
        </w:tc>
        <w:tc>
          <w:tcPr>
            <w:tcW w:w="0" w:type="auto"/>
            <w:vAlign w:val="center"/>
            <w:hideMark/>
          </w:tcPr>
          <w:p w14:paraId="65E83495" w14:textId="77777777" w:rsidR="000B5AA1" w:rsidRPr="000B5AA1" w:rsidRDefault="000B5AA1" w:rsidP="000B5AA1">
            <w:pPr>
              <w:spacing w:after="160"/>
              <w:jc w:val="center"/>
              <w:rPr>
                <w:rFonts w:ascii="Times New Roman" w:eastAsia="Times New Roman" w:hAnsi="Times New Roman" w:cs="Times New Roman"/>
                <w:b/>
                <w:bCs/>
                <w:color w:val="000000" w:themeColor="text1"/>
                <w:lang w:val="es-CO"/>
              </w:rPr>
            </w:pPr>
            <w:r w:rsidRPr="000B5AA1">
              <w:rPr>
                <w:rFonts w:ascii="Times New Roman" w:eastAsia="Times New Roman" w:hAnsi="Times New Roman" w:cs="Times New Roman"/>
                <w:b/>
                <w:bCs/>
                <w:color w:val="000000" w:themeColor="text1"/>
                <w:sz w:val="20"/>
                <w:lang w:val="es-CO"/>
              </w:rPr>
              <w:t>Source</w:t>
            </w:r>
          </w:p>
        </w:tc>
      </w:tr>
      <w:tr w:rsidR="000B5AA1" w:rsidRPr="000B5AA1" w14:paraId="6FBBEFF9" w14:textId="77777777" w:rsidTr="000B5AA1">
        <w:tc>
          <w:tcPr>
            <w:tcW w:w="0" w:type="auto"/>
            <w:vAlign w:val="center"/>
            <w:hideMark/>
          </w:tcPr>
          <w:p w14:paraId="72586F58"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Energy metabolism</w:t>
            </w:r>
          </w:p>
        </w:tc>
        <w:tc>
          <w:tcPr>
            <w:tcW w:w="0" w:type="auto"/>
            <w:vAlign w:val="center"/>
            <w:hideMark/>
          </w:tcPr>
          <w:p w14:paraId="45B4680C" w14:textId="77777777" w:rsidR="000B5AA1" w:rsidRPr="000B5AA1" w:rsidRDefault="000B5AA1" w:rsidP="000B5AA1">
            <w:pPr>
              <w:spacing w:after="160"/>
              <w:jc w:val="center"/>
              <w:rPr>
                <w:rFonts w:ascii="Times New Roman" w:eastAsia="Times New Roman" w:hAnsi="Times New Roman" w:cs="Times New Roman"/>
                <w:color w:val="000000" w:themeColor="text1"/>
              </w:rPr>
            </w:pPr>
            <w:r w:rsidRPr="000B5AA1">
              <w:rPr>
                <w:rFonts w:ascii="Times New Roman" w:eastAsia="Times New Roman" w:hAnsi="Times New Roman" w:cs="Times New Roman"/>
                <w:color w:val="000000" w:themeColor="text1"/>
                <w:sz w:val="20"/>
              </w:rPr>
              <w:t>ATP, ADP, Pi, H₂O, H⁺</w:t>
            </w:r>
          </w:p>
        </w:tc>
        <w:tc>
          <w:tcPr>
            <w:tcW w:w="0" w:type="auto"/>
            <w:vAlign w:val="center"/>
            <w:hideMark/>
          </w:tcPr>
          <w:p w14:paraId="35086F8C"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Cellular energy maintenance and ATP turnover</w:t>
            </w:r>
          </w:p>
        </w:tc>
        <w:tc>
          <w:tcPr>
            <w:tcW w:w="0" w:type="auto"/>
            <w:vAlign w:val="center"/>
            <w:hideMark/>
          </w:tcPr>
          <w:p w14:paraId="1FAC29E0"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2ACF2BF3"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68D5DE3E"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Original GEM</w:t>
            </w:r>
          </w:p>
        </w:tc>
      </w:tr>
      <w:tr w:rsidR="000B5AA1" w:rsidRPr="000B5AA1" w14:paraId="3C07916F" w14:textId="77777777" w:rsidTr="000B5AA1">
        <w:tc>
          <w:tcPr>
            <w:tcW w:w="0" w:type="auto"/>
            <w:vAlign w:val="center"/>
            <w:hideMark/>
          </w:tcPr>
          <w:p w14:paraId="17F2228A"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Amino acids</w:t>
            </w:r>
          </w:p>
        </w:tc>
        <w:tc>
          <w:tcPr>
            <w:tcW w:w="0" w:type="auto"/>
            <w:vAlign w:val="center"/>
            <w:hideMark/>
          </w:tcPr>
          <w:p w14:paraId="3F23BE02"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Ala, Arg, Asn, Asp, Cys, Gln, Glu, Gly, His, Ile, Leu, Lys, Met, Phe, Pro, Ser, Thr, Trp, Tyr, Val</w:t>
            </w:r>
          </w:p>
        </w:tc>
        <w:tc>
          <w:tcPr>
            <w:tcW w:w="0" w:type="auto"/>
            <w:vAlign w:val="center"/>
            <w:hideMark/>
          </w:tcPr>
          <w:p w14:paraId="593D1D34"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Protein synthesis, enzyme turnover, and intermediary metabolism</w:t>
            </w:r>
          </w:p>
        </w:tc>
        <w:tc>
          <w:tcPr>
            <w:tcW w:w="0" w:type="auto"/>
            <w:vAlign w:val="center"/>
            <w:hideMark/>
          </w:tcPr>
          <w:p w14:paraId="189642DD"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578FCC22"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429728DD"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Original GEM</w:t>
            </w:r>
          </w:p>
        </w:tc>
      </w:tr>
      <w:tr w:rsidR="000B5AA1" w:rsidRPr="000B5AA1" w14:paraId="023C9946" w14:textId="77777777" w:rsidTr="000B5AA1">
        <w:tc>
          <w:tcPr>
            <w:tcW w:w="0" w:type="auto"/>
            <w:vAlign w:val="center"/>
            <w:hideMark/>
          </w:tcPr>
          <w:p w14:paraId="09631F6D"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Nucleotides</w:t>
            </w:r>
          </w:p>
        </w:tc>
        <w:tc>
          <w:tcPr>
            <w:tcW w:w="0" w:type="auto"/>
            <w:vAlign w:val="center"/>
            <w:hideMark/>
          </w:tcPr>
          <w:p w14:paraId="3AB952BE"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ATP, GTP, CTP, UTP and corresponding deoxyribonucleotides</w:t>
            </w:r>
          </w:p>
        </w:tc>
        <w:tc>
          <w:tcPr>
            <w:tcW w:w="0" w:type="auto"/>
            <w:vAlign w:val="center"/>
            <w:hideMark/>
          </w:tcPr>
          <w:p w14:paraId="72A81B10"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DNA/RNA maintenance and nucleotide homeostasis</w:t>
            </w:r>
          </w:p>
        </w:tc>
        <w:tc>
          <w:tcPr>
            <w:tcW w:w="0" w:type="auto"/>
            <w:vAlign w:val="center"/>
            <w:hideMark/>
          </w:tcPr>
          <w:p w14:paraId="36231F10"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7C6B7204"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4101EF0D"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Original GEM</w:t>
            </w:r>
          </w:p>
        </w:tc>
      </w:tr>
      <w:tr w:rsidR="000B5AA1" w:rsidRPr="000B5AA1" w14:paraId="67E43CF5" w14:textId="77777777" w:rsidTr="000B5AA1">
        <w:tc>
          <w:tcPr>
            <w:tcW w:w="0" w:type="auto"/>
            <w:vAlign w:val="center"/>
            <w:hideMark/>
          </w:tcPr>
          <w:p w14:paraId="69D0B3D8"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Membrane phospholipids</w:t>
            </w:r>
          </w:p>
        </w:tc>
        <w:tc>
          <w:tcPr>
            <w:tcW w:w="0" w:type="auto"/>
            <w:vAlign w:val="center"/>
            <w:hideMark/>
          </w:tcPr>
          <w:p w14:paraId="06906620"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Phosphatidylcholine (PC), phosphatidylethanolamine (PE), phosphatidylserine (PS), phosphatidylglycerol (PG), cardiolipin (CL)</w:t>
            </w:r>
          </w:p>
        </w:tc>
        <w:tc>
          <w:tcPr>
            <w:tcW w:w="0" w:type="auto"/>
            <w:vAlign w:val="center"/>
            <w:hideMark/>
          </w:tcPr>
          <w:p w14:paraId="6CAA9F61"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Membrane synthesis and organelle maintenance</w:t>
            </w:r>
          </w:p>
        </w:tc>
        <w:tc>
          <w:tcPr>
            <w:tcW w:w="0" w:type="auto"/>
            <w:vAlign w:val="center"/>
            <w:hideMark/>
          </w:tcPr>
          <w:p w14:paraId="68B1508F"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756C759B"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5CE8BE95"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Original GEM</w:t>
            </w:r>
          </w:p>
        </w:tc>
      </w:tr>
      <w:tr w:rsidR="000B5AA1" w:rsidRPr="000B5AA1" w14:paraId="2F0B0786" w14:textId="77777777" w:rsidTr="000B5AA1">
        <w:tc>
          <w:tcPr>
            <w:tcW w:w="0" w:type="auto"/>
            <w:vAlign w:val="center"/>
            <w:hideMark/>
          </w:tcPr>
          <w:p w14:paraId="3A03733F"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lastRenderedPageBreak/>
              <w:t>Cholesterol</w:t>
            </w:r>
          </w:p>
        </w:tc>
        <w:tc>
          <w:tcPr>
            <w:tcW w:w="0" w:type="auto"/>
            <w:vAlign w:val="center"/>
            <w:hideMark/>
          </w:tcPr>
          <w:p w14:paraId="31691579"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Cholesterol</w:t>
            </w:r>
          </w:p>
        </w:tc>
        <w:tc>
          <w:tcPr>
            <w:tcW w:w="0" w:type="auto"/>
            <w:vAlign w:val="center"/>
            <w:hideMark/>
          </w:tcPr>
          <w:p w14:paraId="276997C7"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Membrane integrity, lipid raft formation, and synaptic membrane maintenance</w:t>
            </w:r>
          </w:p>
        </w:tc>
        <w:tc>
          <w:tcPr>
            <w:tcW w:w="0" w:type="auto"/>
            <w:vAlign w:val="center"/>
            <w:hideMark/>
          </w:tcPr>
          <w:p w14:paraId="18F07873"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5C498E5F"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0CE7AE01"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Original GEM</w:t>
            </w:r>
          </w:p>
        </w:tc>
      </w:tr>
      <w:tr w:rsidR="000B5AA1" w:rsidRPr="000B5AA1" w14:paraId="6E6FD894" w14:textId="77777777" w:rsidTr="000B5AA1">
        <w:tc>
          <w:tcPr>
            <w:tcW w:w="0" w:type="auto"/>
            <w:vAlign w:val="center"/>
            <w:hideMark/>
          </w:tcPr>
          <w:p w14:paraId="552C6B22"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Sphingolipids</w:t>
            </w:r>
          </w:p>
        </w:tc>
        <w:tc>
          <w:tcPr>
            <w:tcW w:w="0" w:type="auto"/>
            <w:vAlign w:val="center"/>
            <w:hideMark/>
          </w:tcPr>
          <w:p w14:paraId="2416CDD2"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Sphingomyelin</w:t>
            </w:r>
          </w:p>
        </w:tc>
        <w:tc>
          <w:tcPr>
            <w:tcW w:w="0" w:type="auto"/>
            <w:vAlign w:val="center"/>
            <w:hideMark/>
          </w:tcPr>
          <w:p w14:paraId="19E2BC4C"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Myelin and membrane stability</w:t>
            </w:r>
          </w:p>
        </w:tc>
        <w:tc>
          <w:tcPr>
            <w:tcW w:w="0" w:type="auto"/>
            <w:vAlign w:val="center"/>
            <w:hideMark/>
          </w:tcPr>
          <w:p w14:paraId="2A5E5C45"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01068070"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7179F318"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Original GEM</w:t>
            </w:r>
          </w:p>
        </w:tc>
      </w:tr>
      <w:tr w:rsidR="000B5AA1" w:rsidRPr="000B5AA1" w14:paraId="4D0447D7" w14:textId="77777777" w:rsidTr="000B5AA1">
        <w:tc>
          <w:tcPr>
            <w:tcW w:w="0" w:type="auto"/>
            <w:vAlign w:val="center"/>
            <w:hideMark/>
          </w:tcPr>
          <w:p w14:paraId="53D48A8B"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Fatty acids</w:t>
            </w:r>
          </w:p>
        </w:tc>
        <w:tc>
          <w:tcPr>
            <w:tcW w:w="0" w:type="auto"/>
            <w:vAlign w:val="center"/>
            <w:hideMark/>
          </w:tcPr>
          <w:p w14:paraId="1BD3DC2D"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Palmitate and long-chain fatty acids</w:t>
            </w:r>
          </w:p>
        </w:tc>
        <w:tc>
          <w:tcPr>
            <w:tcW w:w="0" w:type="auto"/>
            <w:vAlign w:val="center"/>
            <w:hideMark/>
          </w:tcPr>
          <w:p w14:paraId="29B2707B"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Membrane lipid turnover and β-oxidation</w:t>
            </w:r>
          </w:p>
        </w:tc>
        <w:tc>
          <w:tcPr>
            <w:tcW w:w="0" w:type="auto"/>
            <w:vAlign w:val="center"/>
            <w:hideMark/>
          </w:tcPr>
          <w:p w14:paraId="3D91F91F"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240EFD52"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6E18EB35"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Original GEM</w:t>
            </w:r>
          </w:p>
        </w:tc>
      </w:tr>
      <w:tr w:rsidR="000B5AA1" w:rsidRPr="000B5AA1" w14:paraId="3F9433D9" w14:textId="77777777" w:rsidTr="000B5AA1">
        <w:tc>
          <w:tcPr>
            <w:tcW w:w="0" w:type="auto"/>
            <w:vAlign w:val="center"/>
            <w:hideMark/>
          </w:tcPr>
          <w:p w14:paraId="3844D90D"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Carbohydrate intermediates</w:t>
            </w:r>
          </w:p>
        </w:tc>
        <w:tc>
          <w:tcPr>
            <w:tcW w:w="0" w:type="auto"/>
            <w:vAlign w:val="center"/>
            <w:hideMark/>
          </w:tcPr>
          <w:p w14:paraId="44478850"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Glucose-6-phosphate and glycolytic intermediates</w:t>
            </w:r>
          </w:p>
        </w:tc>
        <w:tc>
          <w:tcPr>
            <w:tcW w:w="0" w:type="auto"/>
            <w:vAlign w:val="center"/>
            <w:hideMark/>
          </w:tcPr>
          <w:p w14:paraId="07452E92"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Central carbon metabolism</w:t>
            </w:r>
          </w:p>
        </w:tc>
        <w:tc>
          <w:tcPr>
            <w:tcW w:w="0" w:type="auto"/>
            <w:vAlign w:val="center"/>
            <w:hideMark/>
          </w:tcPr>
          <w:p w14:paraId="041851C9"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34064F15"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7114A1E8"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Original GEM</w:t>
            </w:r>
          </w:p>
        </w:tc>
      </w:tr>
      <w:tr w:rsidR="000B5AA1" w:rsidRPr="000B5AA1" w14:paraId="093EA0BB" w14:textId="77777777" w:rsidTr="000B5AA1">
        <w:tc>
          <w:tcPr>
            <w:tcW w:w="0" w:type="auto"/>
            <w:vAlign w:val="center"/>
            <w:hideMark/>
          </w:tcPr>
          <w:p w14:paraId="3395DB55"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Redox cofactors</w:t>
            </w:r>
          </w:p>
        </w:tc>
        <w:tc>
          <w:tcPr>
            <w:tcW w:w="0" w:type="auto"/>
            <w:vAlign w:val="center"/>
            <w:hideMark/>
          </w:tcPr>
          <w:p w14:paraId="170C1B02"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NAD(P)H-associated metabolites, glutathione</w:t>
            </w:r>
          </w:p>
        </w:tc>
        <w:tc>
          <w:tcPr>
            <w:tcW w:w="0" w:type="auto"/>
            <w:vAlign w:val="center"/>
            <w:hideMark/>
          </w:tcPr>
          <w:p w14:paraId="4674C802"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Oxidative stress protection and redox homeostasis</w:t>
            </w:r>
          </w:p>
        </w:tc>
        <w:tc>
          <w:tcPr>
            <w:tcW w:w="0" w:type="auto"/>
            <w:vAlign w:val="center"/>
            <w:hideMark/>
          </w:tcPr>
          <w:p w14:paraId="0929DBFB"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25E8EB33"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7393D426"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Original GEM</w:t>
            </w:r>
          </w:p>
        </w:tc>
      </w:tr>
      <w:tr w:rsidR="000B5AA1" w:rsidRPr="000B5AA1" w14:paraId="7EF0BA90" w14:textId="77777777" w:rsidTr="000B5AA1">
        <w:tc>
          <w:tcPr>
            <w:tcW w:w="0" w:type="auto"/>
            <w:vAlign w:val="center"/>
            <w:hideMark/>
          </w:tcPr>
          <w:p w14:paraId="42A8E134"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Neurotransmitter-related metabolites</w:t>
            </w:r>
          </w:p>
        </w:tc>
        <w:tc>
          <w:tcPr>
            <w:tcW w:w="0" w:type="auto"/>
            <w:vAlign w:val="center"/>
            <w:hideMark/>
          </w:tcPr>
          <w:p w14:paraId="63D4555D"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Glutamate, glutamine, GABA, aspartate</w:t>
            </w:r>
          </w:p>
        </w:tc>
        <w:tc>
          <w:tcPr>
            <w:tcW w:w="0" w:type="auto"/>
            <w:vAlign w:val="center"/>
            <w:hideMark/>
          </w:tcPr>
          <w:p w14:paraId="63DBC9F1"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Neurotransmitter synthesis and recycling</w:t>
            </w:r>
          </w:p>
        </w:tc>
        <w:tc>
          <w:tcPr>
            <w:tcW w:w="0" w:type="auto"/>
            <w:vAlign w:val="center"/>
            <w:hideMark/>
          </w:tcPr>
          <w:p w14:paraId="01DF17BE"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669E8ACB"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6B3F857B"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Original GEM</w:t>
            </w:r>
          </w:p>
        </w:tc>
      </w:tr>
      <w:tr w:rsidR="000B5AA1" w:rsidRPr="000B5AA1" w14:paraId="5917FCA2" w14:textId="77777777" w:rsidTr="000B5AA1">
        <w:tc>
          <w:tcPr>
            <w:tcW w:w="0" w:type="auto"/>
            <w:vAlign w:val="center"/>
            <w:hideMark/>
          </w:tcPr>
          <w:p w14:paraId="74322251"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Inorganic ions</w:t>
            </w:r>
          </w:p>
        </w:tc>
        <w:tc>
          <w:tcPr>
            <w:tcW w:w="0" w:type="auto"/>
            <w:vAlign w:val="center"/>
            <w:hideMark/>
          </w:tcPr>
          <w:p w14:paraId="425B6EF1"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Na⁺, K⁺, Ca²⁺, H⁺</w:t>
            </w:r>
          </w:p>
        </w:tc>
        <w:tc>
          <w:tcPr>
            <w:tcW w:w="0" w:type="auto"/>
            <w:vAlign w:val="center"/>
            <w:hideMark/>
          </w:tcPr>
          <w:p w14:paraId="48BBF495"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Ionic homeostasis and membrane potential</w:t>
            </w:r>
          </w:p>
        </w:tc>
        <w:tc>
          <w:tcPr>
            <w:tcW w:w="0" w:type="auto"/>
            <w:vAlign w:val="center"/>
            <w:hideMark/>
          </w:tcPr>
          <w:p w14:paraId="6DA2DA95"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1BA879E5"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29591218"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Original GEM</w:t>
            </w:r>
          </w:p>
        </w:tc>
      </w:tr>
      <w:tr w:rsidR="000B5AA1" w:rsidRPr="000B5AA1" w14:paraId="0967B310" w14:textId="77777777" w:rsidTr="000B5AA1">
        <w:tc>
          <w:tcPr>
            <w:tcW w:w="0" w:type="auto"/>
            <w:vAlign w:val="center"/>
            <w:hideMark/>
          </w:tcPr>
          <w:p w14:paraId="0843AB7F"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Water and inorganic metabolites</w:t>
            </w:r>
          </w:p>
        </w:tc>
        <w:tc>
          <w:tcPr>
            <w:tcW w:w="0" w:type="auto"/>
            <w:vAlign w:val="center"/>
            <w:hideMark/>
          </w:tcPr>
          <w:p w14:paraId="2716D60B"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H₂O, CO₂, NH₄⁺, phosphate</w:t>
            </w:r>
          </w:p>
        </w:tc>
        <w:tc>
          <w:tcPr>
            <w:tcW w:w="0" w:type="auto"/>
            <w:vAlign w:val="center"/>
            <w:hideMark/>
          </w:tcPr>
          <w:p w14:paraId="321E3299"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Mass balance and cellular maintenance</w:t>
            </w:r>
          </w:p>
        </w:tc>
        <w:tc>
          <w:tcPr>
            <w:tcW w:w="0" w:type="auto"/>
            <w:vAlign w:val="center"/>
            <w:hideMark/>
          </w:tcPr>
          <w:p w14:paraId="4B87DFD0"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36A20C4C"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Yes</w:t>
            </w:r>
          </w:p>
        </w:tc>
        <w:tc>
          <w:tcPr>
            <w:tcW w:w="0" w:type="auto"/>
            <w:vAlign w:val="center"/>
            <w:hideMark/>
          </w:tcPr>
          <w:p w14:paraId="01BEA25E" w14:textId="77777777" w:rsidR="000B5AA1" w:rsidRPr="000B5AA1" w:rsidRDefault="000B5AA1" w:rsidP="000B5AA1">
            <w:pPr>
              <w:spacing w:after="160"/>
              <w:jc w:val="center"/>
              <w:rPr>
                <w:rFonts w:ascii="Times New Roman" w:eastAsia="Times New Roman" w:hAnsi="Times New Roman" w:cs="Times New Roman"/>
                <w:color w:val="000000" w:themeColor="text1"/>
                <w:lang w:val="es-CO"/>
              </w:rPr>
            </w:pPr>
            <w:r w:rsidRPr="000B5AA1">
              <w:rPr>
                <w:rFonts w:ascii="Times New Roman" w:eastAsia="Times New Roman" w:hAnsi="Times New Roman" w:cs="Times New Roman"/>
                <w:color w:val="000000" w:themeColor="text1"/>
                <w:sz w:val="20"/>
                <w:lang w:val="es-CO"/>
              </w:rPr>
              <w:t>Original GEM</w:t>
            </w:r>
          </w:p>
        </w:tc>
      </w:tr>
    </w:tbl>
    <w:p w14:paraId="17CA47E3" w14:textId="77777777" w:rsidR="000B5AA1" w:rsidRPr="000B5AA1" w:rsidRDefault="000B5AA1" w:rsidP="000B5AA1">
      <w:pPr>
        <w:jc w:val="both"/>
        <w:rPr>
          <w:rFonts w:ascii="Times New Roman" w:eastAsia="Times New Roman" w:hAnsi="Times New Roman" w:cs="Times New Roman"/>
          <w:color w:val="000000" w:themeColor="text1"/>
        </w:rPr>
      </w:pPr>
      <w:r>
        <w:rPr>
          <w:sz w:val="20"/>
        </w:rPr>
      </w:r>
    </w:p>
    <w:sectPr w:rsidR="000B5AA1" w:rsidRPr="000B5AA1" w:rsidSect="00896245">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6A6"/>
    <w:rsid w:val="000B3282"/>
    <w:rsid w:val="000B5AA1"/>
    <w:rsid w:val="001E6FA9"/>
    <w:rsid w:val="00484F5B"/>
    <w:rsid w:val="004A4C44"/>
    <w:rsid w:val="005F36A6"/>
    <w:rsid w:val="00896245"/>
    <w:rsid w:val="0090437D"/>
    <w:rsid w:val="00E8010E"/>
    <w:rsid w:val="00F06D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DE177"/>
  <w15:chartTrackingRefBased/>
  <w15:docId w15:val="{54DA0B6F-0F93-474C-98E0-40015BAE4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6A6"/>
    <w:pPr>
      <w:spacing w:line="279" w:lineRule="auto"/>
    </w:pPr>
    <w:rPr>
      <w:rFonts w:eastAsiaTheme="minorEastAsia"/>
      <w:sz w:val="24"/>
      <w:szCs w:val="24"/>
      <w:lang w:val="en-US"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F36A6"/>
    <w:pPr>
      <w:spacing w:after="0" w:line="240" w:lineRule="auto"/>
    </w:pPr>
    <w:rPr>
      <w:rFonts w:asciiTheme="majorHAnsi" w:hAnsiTheme="maj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896245"/>
    <w:rPr>
      <w:b/>
      <w:bCs/>
    </w:rPr>
  </w:style>
  <w:style w:type="character" w:styleId="Hipervnculo">
    <w:name w:val="Hyperlink"/>
    <w:basedOn w:val="Fuentedeprrafopredeter"/>
    <w:uiPriority w:val="99"/>
    <w:unhideWhenUsed/>
    <w:rsid w:val="004A4C44"/>
    <w:rPr>
      <w:color w:val="0563C1" w:themeColor="hyperlink"/>
      <w:u w:val="single"/>
    </w:rPr>
  </w:style>
  <w:style w:type="character" w:styleId="Mencinsinresolver">
    <w:name w:val="Unresolved Mention"/>
    <w:basedOn w:val="Fuentedeprrafopredeter"/>
    <w:uiPriority w:val="99"/>
    <w:semiHidden/>
    <w:unhideWhenUsed/>
    <w:rsid w:val="004A4C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693303">
      <w:bodyDiv w:val="1"/>
      <w:marLeft w:val="0"/>
      <w:marRight w:val="0"/>
      <w:marTop w:val="0"/>
      <w:marBottom w:val="0"/>
      <w:divBdr>
        <w:top w:val="none" w:sz="0" w:space="0" w:color="auto"/>
        <w:left w:val="none" w:sz="0" w:space="0" w:color="auto"/>
        <w:bottom w:val="none" w:sz="0" w:space="0" w:color="auto"/>
        <w:right w:val="none" w:sz="0" w:space="0" w:color="auto"/>
      </w:divBdr>
    </w:div>
    <w:div w:id="114913393">
      <w:bodyDiv w:val="1"/>
      <w:marLeft w:val="0"/>
      <w:marRight w:val="0"/>
      <w:marTop w:val="0"/>
      <w:marBottom w:val="0"/>
      <w:divBdr>
        <w:top w:val="none" w:sz="0" w:space="0" w:color="auto"/>
        <w:left w:val="none" w:sz="0" w:space="0" w:color="auto"/>
        <w:bottom w:val="none" w:sz="0" w:space="0" w:color="auto"/>
        <w:right w:val="none" w:sz="0" w:space="0" w:color="auto"/>
      </w:divBdr>
    </w:div>
    <w:div w:id="309141194">
      <w:bodyDiv w:val="1"/>
      <w:marLeft w:val="0"/>
      <w:marRight w:val="0"/>
      <w:marTop w:val="0"/>
      <w:marBottom w:val="0"/>
      <w:divBdr>
        <w:top w:val="none" w:sz="0" w:space="0" w:color="auto"/>
        <w:left w:val="none" w:sz="0" w:space="0" w:color="auto"/>
        <w:bottom w:val="none" w:sz="0" w:space="0" w:color="auto"/>
        <w:right w:val="none" w:sz="0" w:space="0" w:color="auto"/>
      </w:divBdr>
    </w:div>
    <w:div w:id="535653663">
      <w:bodyDiv w:val="1"/>
      <w:marLeft w:val="0"/>
      <w:marRight w:val="0"/>
      <w:marTop w:val="0"/>
      <w:marBottom w:val="0"/>
      <w:divBdr>
        <w:top w:val="none" w:sz="0" w:space="0" w:color="auto"/>
        <w:left w:val="none" w:sz="0" w:space="0" w:color="auto"/>
        <w:bottom w:val="none" w:sz="0" w:space="0" w:color="auto"/>
        <w:right w:val="none" w:sz="0" w:space="0" w:color="auto"/>
      </w:divBdr>
    </w:div>
    <w:div w:id="812869587">
      <w:bodyDiv w:val="1"/>
      <w:marLeft w:val="0"/>
      <w:marRight w:val="0"/>
      <w:marTop w:val="0"/>
      <w:marBottom w:val="0"/>
      <w:divBdr>
        <w:top w:val="none" w:sz="0" w:space="0" w:color="auto"/>
        <w:left w:val="none" w:sz="0" w:space="0" w:color="auto"/>
        <w:bottom w:val="none" w:sz="0" w:space="0" w:color="auto"/>
        <w:right w:val="none" w:sz="0" w:space="0" w:color="auto"/>
      </w:divBdr>
    </w:div>
    <w:div w:id="1179542825">
      <w:bodyDiv w:val="1"/>
      <w:marLeft w:val="0"/>
      <w:marRight w:val="0"/>
      <w:marTop w:val="0"/>
      <w:marBottom w:val="0"/>
      <w:divBdr>
        <w:top w:val="none" w:sz="0" w:space="0" w:color="auto"/>
        <w:left w:val="none" w:sz="0" w:space="0" w:color="auto"/>
        <w:bottom w:val="none" w:sz="0" w:space="0" w:color="auto"/>
        <w:right w:val="none" w:sz="0" w:space="0" w:color="auto"/>
      </w:divBdr>
    </w:div>
    <w:div w:id="1544636370">
      <w:bodyDiv w:val="1"/>
      <w:marLeft w:val="0"/>
      <w:marRight w:val="0"/>
      <w:marTop w:val="0"/>
      <w:marBottom w:val="0"/>
      <w:divBdr>
        <w:top w:val="none" w:sz="0" w:space="0" w:color="auto"/>
        <w:left w:val="none" w:sz="0" w:space="0" w:color="auto"/>
        <w:bottom w:val="none" w:sz="0" w:space="0" w:color="auto"/>
        <w:right w:val="none" w:sz="0" w:space="0" w:color="auto"/>
      </w:divBdr>
    </w:div>
    <w:div w:id="1602370169">
      <w:bodyDiv w:val="1"/>
      <w:marLeft w:val="0"/>
      <w:marRight w:val="0"/>
      <w:marTop w:val="0"/>
      <w:marBottom w:val="0"/>
      <w:divBdr>
        <w:top w:val="none" w:sz="0" w:space="0" w:color="auto"/>
        <w:left w:val="none" w:sz="0" w:space="0" w:color="auto"/>
        <w:bottom w:val="none" w:sz="0" w:space="0" w:color="auto"/>
        <w:right w:val="none" w:sz="0" w:space="0" w:color="auto"/>
      </w:divBdr>
    </w:div>
    <w:div w:id="2047829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389</Words>
  <Characters>2140</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Andrea Angarita Rodriguez</dc:creator>
  <cp:keywords/>
  <dc:description/>
  <cp:lastModifiedBy>Maria Andrea Angarita Rodriguez</cp:lastModifiedBy>
  <cp:revision>2</cp:revision>
  <dcterms:created xsi:type="dcterms:W3CDTF">2026-07-14T00:15:00Z</dcterms:created>
  <dcterms:modified xsi:type="dcterms:W3CDTF">2026-07-14T00:15:00Z</dcterms:modified>
</cp:coreProperties>
</file>