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376" w:rsidRDefault="00AA6376" w:rsidP="00AA6376">
      <w:pPr>
        <w:spacing w:line="14" w:lineRule="auto"/>
        <w:rPr>
          <w:rFonts w:ascii="Arial" w:eastAsia="Arial" w:hAnsi="Arial" w:cs="Arial"/>
          <w:sz w:val="20"/>
          <w:szCs w:val="20"/>
        </w:rPr>
        <w:sectPr w:rsidR="00AA6376">
          <w:footerReference w:type="default" r:id="rId4"/>
          <w:pgSz w:w="11900" w:h="16840"/>
          <w:pgMar w:top="1440" w:right="1440" w:bottom="1440" w:left="1440" w:header="0" w:footer="6" w:gutter="0"/>
          <w:pgNumType w:start="1"/>
          <w:cols w:space="720"/>
        </w:sectPr>
      </w:pPr>
    </w:p>
    <w:p w:rsidR="00AA6376" w:rsidRDefault="00AA6376" w:rsidP="00AA6376">
      <w:pPr>
        <w:pBdr>
          <w:top w:val="nil"/>
          <w:left w:val="nil"/>
          <w:bottom w:val="nil"/>
          <w:right w:val="nil"/>
          <w:between w:val="nil"/>
        </w:pBdr>
        <w:spacing w:line="276" w:lineRule="auto"/>
        <w:rPr>
          <w:rFonts w:ascii="Arial" w:eastAsia="Arial" w:hAnsi="Arial" w:cs="Arial"/>
          <w:sz w:val="20"/>
          <w:szCs w:val="20"/>
        </w:rPr>
      </w:pPr>
    </w:p>
    <w:tbl>
      <w:tblPr>
        <w:tblW w:w="8705" w:type="dxa"/>
        <w:tblLayout w:type="fixed"/>
        <w:tblLook w:val="0400" w:firstRow="0" w:lastRow="0" w:firstColumn="0" w:lastColumn="0" w:noHBand="0" w:noVBand="1"/>
      </w:tblPr>
      <w:tblGrid>
        <w:gridCol w:w="3828"/>
        <w:gridCol w:w="4877"/>
      </w:tblGrid>
      <w:tr w:rsidR="00AA6376" w:rsidTr="00E550BB">
        <w:tc>
          <w:tcPr>
            <w:tcW w:w="3828" w:type="dxa"/>
            <w:shd w:val="clear" w:color="auto" w:fill="FFFFFF"/>
            <w:tcMar>
              <w:top w:w="0" w:type="dxa"/>
              <w:left w:w="108" w:type="dxa"/>
              <w:bottom w:w="0" w:type="dxa"/>
              <w:right w:w="108" w:type="dxa"/>
            </w:tcMar>
          </w:tcPr>
          <w:p w:rsidR="00AA6376" w:rsidRDefault="00AA6376" w:rsidP="00E550BB">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BỘ TÀI CHÍNH</w:t>
            </w:r>
          </w:p>
          <w:p w:rsidR="00AA6376" w:rsidRDefault="00AA6376" w:rsidP="00E550BB">
            <w:pPr>
              <w:spacing w:before="120" w:after="120"/>
              <w:jc w:val="center"/>
              <w:rPr>
                <w:rFonts w:ascii="Arial" w:eastAsia="Arial" w:hAnsi="Arial" w:cs="Arial"/>
                <w:sz w:val="20"/>
                <w:szCs w:val="20"/>
                <w:vertAlign w:val="superscript"/>
              </w:rPr>
            </w:pPr>
            <w:r>
              <w:rPr>
                <w:rFonts w:ascii="Arial" w:eastAsia="Arial" w:hAnsi="Arial" w:cs="Arial"/>
                <w:b/>
                <w:bCs/>
                <w:sz w:val="20"/>
                <w:szCs w:val="20"/>
              </w:rPr>
              <w:t>CỤC QUẢN LÝ, GIÁM SÁT</w:t>
            </w:r>
            <w:r>
              <w:rPr>
                <w:rFonts w:ascii="Arial" w:eastAsia="Arial" w:hAnsi="Arial" w:cs="Arial"/>
                <w:b/>
                <w:bCs/>
                <w:sz w:val="20"/>
                <w:szCs w:val="20"/>
              </w:rPr>
              <w:br/>
              <w:t>CHÍNH SÁCH THUẾ, PHÍ VÀ LỆ PHÍ</w:t>
            </w:r>
            <w:r>
              <w:rPr>
                <w:rFonts w:ascii="Arial" w:eastAsia="Arial" w:hAnsi="Arial" w:cs="Arial"/>
                <w:sz w:val="20"/>
                <w:szCs w:val="20"/>
                <w:vertAlign w:val="superscript"/>
              </w:rPr>
              <w:t xml:space="preserve"> </w:t>
            </w:r>
          </w:p>
          <w:p w:rsidR="00AA6376" w:rsidRDefault="00AA6376" w:rsidP="00E550BB">
            <w:pPr>
              <w:spacing w:before="120" w:after="120"/>
              <w:jc w:val="center"/>
              <w:rPr>
                <w:rFonts w:ascii="Arial" w:eastAsia="Arial" w:hAnsi="Arial" w:cs="Arial"/>
                <w:sz w:val="20"/>
                <w:szCs w:val="20"/>
              </w:rPr>
            </w:pPr>
            <w:r>
              <w:rPr>
                <w:rFonts w:ascii="Arial" w:eastAsia="Arial" w:hAnsi="Arial" w:cs="Arial"/>
                <w:sz w:val="20"/>
                <w:szCs w:val="20"/>
                <w:vertAlign w:val="superscript"/>
              </w:rPr>
              <w:t>_____</w:t>
            </w:r>
          </w:p>
        </w:tc>
        <w:tc>
          <w:tcPr>
            <w:tcW w:w="4877" w:type="dxa"/>
            <w:shd w:val="clear" w:color="auto" w:fill="FFFFFF"/>
            <w:tcMar>
              <w:top w:w="0" w:type="dxa"/>
              <w:left w:w="108" w:type="dxa"/>
              <w:bottom w:w="0" w:type="dxa"/>
              <w:right w:w="108" w:type="dxa"/>
            </w:tcMar>
          </w:tcPr>
          <w:p w:rsidR="00AA6376" w:rsidRDefault="00AA6376" w:rsidP="00E550BB">
            <w:pPr>
              <w:spacing w:before="120" w:after="120"/>
              <w:jc w:val="center"/>
              <w:rPr>
                <w:rFonts w:ascii="Arial" w:eastAsia="Arial" w:hAnsi="Arial" w:cs="Arial"/>
                <w:sz w:val="20"/>
                <w:szCs w:val="20"/>
              </w:rPr>
            </w:pPr>
            <w:r>
              <w:rPr>
                <w:rFonts w:ascii="Arial" w:eastAsia="Arial" w:hAnsi="Arial" w:cs="Arial"/>
                <w:b/>
                <w:bCs/>
                <w:sz w:val="20"/>
                <w:szCs w:val="20"/>
              </w:rPr>
              <w:t>CỘNG HÒA XÃ HỘI CHỦ NGHĨA VIỆT NAM</w:t>
            </w:r>
            <w:r>
              <w:rPr>
                <w:rFonts w:ascii="Arial" w:eastAsia="Arial" w:hAnsi="Arial" w:cs="Arial"/>
                <w:b/>
                <w:bCs/>
                <w:sz w:val="20"/>
                <w:szCs w:val="20"/>
              </w:rPr>
              <w:br/>
              <w:t>Độc lập - Tự do - Hạnh phúc</w:t>
            </w:r>
            <w:r>
              <w:rPr>
                <w:rFonts w:ascii="Arial" w:eastAsia="Arial" w:hAnsi="Arial" w:cs="Arial"/>
                <w:b/>
                <w:bCs/>
                <w:sz w:val="20"/>
                <w:szCs w:val="20"/>
              </w:rPr>
              <w:br/>
            </w:r>
            <w:r>
              <w:rPr>
                <w:rFonts w:ascii="Arial" w:eastAsia="Arial" w:hAnsi="Arial" w:cs="Arial"/>
                <w:sz w:val="20"/>
                <w:szCs w:val="20"/>
                <w:vertAlign w:val="superscript"/>
              </w:rPr>
              <w:t>__________</w:t>
            </w:r>
          </w:p>
        </w:tc>
      </w:tr>
      <w:tr w:rsidR="00AA6376" w:rsidTr="00E550BB">
        <w:tc>
          <w:tcPr>
            <w:tcW w:w="3828" w:type="dxa"/>
            <w:shd w:val="clear" w:color="auto" w:fill="FFFFFF"/>
            <w:tcMar>
              <w:top w:w="0" w:type="dxa"/>
              <w:left w:w="108" w:type="dxa"/>
              <w:bottom w:w="0" w:type="dxa"/>
              <w:right w:w="108" w:type="dxa"/>
            </w:tcMar>
          </w:tcPr>
          <w:p w:rsidR="00AA6376" w:rsidRDefault="00AA6376" w:rsidP="00E550BB">
            <w:pPr>
              <w:pBdr>
                <w:top w:val="nil"/>
                <w:left w:val="nil"/>
                <w:bottom w:val="nil"/>
                <w:right w:val="nil"/>
                <w:between w:val="nil"/>
              </w:pBdr>
              <w:jc w:val="center"/>
              <w:rPr>
                <w:rFonts w:ascii="Arial" w:eastAsia="Arial" w:hAnsi="Arial" w:cs="Arial"/>
                <w:sz w:val="20"/>
                <w:szCs w:val="20"/>
              </w:rPr>
            </w:pPr>
            <w:bookmarkStart w:id="1" w:name="_heading=h.h01jlxlcm7y" w:colFirst="0" w:colLast="0"/>
            <w:bookmarkEnd w:id="1"/>
            <w:r>
              <w:rPr>
                <w:rFonts w:ascii="Arial" w:eastAsia="Arial" w:hAnsi="Arial" w:cs="Arial"/>
                <w:sz w:val="20"/>
                <w:szCs w:val="20"/>
              </w:rPr>
              <w:t>Số: 2759/CST-GTGT</w:t>
            </w:r>
          </w:p>
          <w:p w:rsidR="00AA6376" w:rsidRDefault="00AA6376" w:rsidP="00E550BB">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V/v chính sách th</w:t>
            </w:r>
            <w:r>
              <w:rPr>
                <w:rFonts w:ascii="Arial" w:eastAsia="Arial" w:hAnsi="Arial" w:cs="Arial"/>
                <w:sz w:val="20"/>
                <w:szCs w:val="20"/>
              </w:rPr>
              <w:t>uế</w:t>
            </w:r>
            <w:r>
              <w:rPr>
                <w:rFonts w:ascii="Arial" w:eastAsia="Arial" w:hAnsi="Arial" w:cs="Arial"/>
                <w:color w:val="000000"/>
                <w:sz w:val="20"/>
                <w:szCs w:val="20"/>
              </w:rPr>
              <w:t xml:space="preserve"> </w:t>
            </w:r>
            <w:r>
              <w:rPr>
                <w:rFonts w:ascii="Arial" w:eastAsia="Arial" w:hAnsi="Arial" w:cs="Arial"/>
                <w:sz w:val="20"/>
                <w:szCs w:val="20"/>
              </w:rPr>
              <w:t>đối</w:t>
            </w:r>
            <w:r>
              <w:rPr>
                <w:rFonts w:ascii="Arial" w:eastAsia="Arial" w:hAnsi="Arial" w:cs="Arial"/>
                <w:color w:val="000000"/>
                <w:sz w:val="20"/>
                <w:szCs w:val="20"/>
              </w:rPr>
              <w:t xml:space="preserve"> với hoạt  động bán ngoại tệ của doanh nghiệp</w:t>
            </w:r>
          </w:p>
          <w:p w:rsidR="00AA6376" w:rsidRDefault="00AA6376" w:rsidP="00E550BB">
            <w:pPr>
              <w:pBdr>
                <w:top w:val="nil"/>
                <w:left w:val="nil"/>
                <w:bottom w:val="nil"/>
                <w:right w:val="nil"/>
                <w:between w:val="nil"/>
              </w:pBdr>
              <w:rPr>
                <w:rFonts w:ascii="Arial" w:eastAsia="Arial" w:hAnsi="Arial" w:cs="Arial"/>
                <w:sz w:val="20"/>
                <w:szCs w:val="20"/>
              </w:rPr>
            </w:pPr>
          </w:p>
        </w:tc>
        <w:tc>
          <w:tcPr>
            <w:tcW w:w="4877" w:type="dxa"/>
            <w:shd w:val="clear" w:color="auto" w:fill="FFFFFF"/>
            <w:tcMar>
              <w:top w:w="0" w:type="dxa"/>
              <w:left w:w="108" w:type="dxa"/>
              <w:bottom w:w="0" w:type="dxa"/>
              <w:right w:w="108" w:type="dxa"/>
            </w:tcMar>
          </w:tcPr>
          <w:p w:rsidR="00AA6376" w:rsidRDefault="00AA6376" w:rsidP="00E550BB">
            <w:pPr>
              <w:spacing w:before="120" w:after="120"/>
              <w:jc w:val="right"/>
              <w:rPr>
                <w:rFonts w:ascii="Arial" w:eastAsia="Arial" w:hAnsi="Arial" w:cs="Arial"/>
                <w:sz w:val="20"/>
                <w:szCs w:val="20"/>
              </w:rPr>
            </w:pPr>
            <w:r>
              <w:rPr>
                <w:rFonts w:ascii="Arial" w:eastAsia="Arial" w:hAnsi="Arial" w:cs="Arial"/>
                <w:i/>
                <w:iCs/>
                <w:sz w:val="20"/>
                <w:szCs w:val="20"/>
              </w:rPr>
              <w:t>Hà Nội, ngày 26  tháng 12 năm 2025</w:t>
            </w:r>
          </w:p>
        </w:tc>
      </w:tr>
    </w:tbl>
    <w:p w:rsidR="00AA6376" w:rsidRDefault="00AA6376" w:rsidP="00AA6376">
      <w:pPr>
        <w:pBdr>
          <w:top w:val="nil"/>
          <w:left w:val="nil"/>
          <w:bottom w:val="nil"/>
          <w:right w:val="nil"/>
          <w:between w:val="nil"/>
        </w:pBdr>
        <w:spacing w:after="120"/>
        <w:ind w:firstLine="720"/>
        <w:jc w:val="center"/>
        <w:rPr>
          <w:rFonts w:ascii="Arial" w:eastAsia="Arial" w:hAnsi="Arial" w:cs="Arial"/>
          <w:color w:val="000000"/>
          <w:sz w:val="20"/>
          <w:szCs w:val="20"/>
        </w:rPr>
      </w:pPr>
      <w:r>
        <w:rPr>
          <w:rFonts w:ascii="Arial" w:eastAsia="Arial" w:hAnsi="Arial" w:cs="Arial"/>
          <w:color w:val="000000"/>
          <w:sz w:val="20"/>
          <w:szCs w:val="20"/>
        </w:rPr>
        <w:t>Kính gửi: Công ty TNHH Kiểm</w:t>
      </w:r>
      <w:bookmarkStart w:id="2" w:name="_GoBack"/>
      <w:bookmarkEnd w:id="2"/>
      <w:r>
        <w:rPr>
          <w:rFonts w:ascii="Arial" w:eastAsia="Arial" w:hAnsi="Arial" w:cs="Arial"/>
          <w:color w:val="000000"/>
          <w:sz w:val="20"/>
          <w:szCs w:val="20"/>
        </w:rPr>
        <w:t xml:space="preserve"> toán ES.</w:t>
      </w:r>
    </w:p>
    <w:p w:rsidR="00AA6376" w:rsidRDefault="00AA6376" w:rsidP="00AA6376">
      <w:pPr>
        <w:pBdr>
          <w:top w:val="nil"/>
          <w:left w:val="nil"/>
          <w:bottom w:val="nil"/>
          <w:right w:val="nil"/>
          <w:between w:val="nil"/>
        </w:pBdr>
        <w:spacing w:after="120"/>
        <w:ind w:left="660" w:firstLine="720"/>
        <w:jc w:val="both"/>
        <w:rPr>
          <w:rFonts w:ascii="Arial" w:eastAsia="Arial" w:hAnsi="Arial" w:cs="Arial"/>
          <w:color w:val="000000"/>
          <w:sz w:val="20"/>
          <w:szCs w:val="20"/>
        </w:rPr>
      </w:pPr>
      <w:r>
        <w:rPr>
          <w:rFonts w:ascii="Arial" w:eastAsia="Arial" w:hAnsi="Arial" w:cs="Arial"/>
          <w:color w:val="000000"/>
          <w:sz w:val="20"/>
          <w:szCs w:val="20"/>
        </w:rPr>
        <w:t>Cục Quản lý, giám sát chính sách thuế, phí và lệ phí (Bộ Tài chính) nhận được công văn số 311025.001/CV-ESA ngày 31/10/2025 của Công ty TNHH Kiểm toán ES (sau đây gọi là Công ty ES) về chính sách thuế đối với hoạt động bán ngoại tệ của doanh nghiệp</w:t>
      </w:r>
      <w:r>
        <w:rPr>
          <w:rFonts w:ascii="Arial" w:eastAsia="Arial" w:hAnsi="Arial" w:cs="Arial"/>
          <w:color w:val="000000"/>
          <w:sz w:val="20"/>
          <w:szCs w:val="20"/>
          <w:lang w:val="en-US"/>
        </w:rPr>
        <w:t>.</w:t>
      </w:r>
      <w:r>
        <w:rPr>
          <w:rFonts w:ascii="Arial" w:eastAsia="Arial" w:hAnsi="Arial" w:cs="Arial"/>
          <w:color w:val="000000"/>
          <w:sz w:val="20"/>
          <w:szCs w:val="20"/>
        </w:rPr>
        <w:t xml:space="preserve"> </w:t>
      </w:r>
      <w:r>
        <w:rPr>
          <w:rFonts w:ascii="Arial" w:eastAsia="Arial" w:hAnsi="Arial" w:cs="Arial"/>
          <w:color w:val="000000"/>
          <w:sz w:val="20"/>
          <w:szCs w:val="20"/>
          <w:lang w:val="en-US"/>
        </w:rPr>
        <w:t>V</w:t>
      </w:r>
      <w:r>
        <w:rPr>
          <w:rFonts w:ascii="Arial" w:eastAsia="Arial" w:hAnsi="Arial" w:cs="Arial"/>
          <w:color w:val="000000"/>
          <w:sz w:val="20"/>
          <w:szCs w:val="20"/>
        </w:rPr>
        <w:t>ề vấn đề này, liên quan đến chức năng, nhiệm vụ, Cục Quản lý, giám sát chính sách thuế, phí và lệ phí có ý kiến như sau:</w:t>
      </w:r>
    </w:p>
    <w:p w:rsidR="00AA6376" w:rsidRDefault="00AA6376" w:rsidP="00AA6376">
      <w:pPr>
        <w:pBdr>
          <w:top w:val="nil"/>
          <w:left w:val="nil"/>
          <w:bottom w:val="nil"/>
          <w:right w:val="nil"/>
          <w:between w:val="nil"/>
        </w:pBdr>
        <w:spacing w:after="120"/>
        <w:ind w:left="660" w:firstLine="720"/>
        <w:jc w:val="both"/>
        <w:rPr>
          <w:rFonts w:ascii="Arial" w:eastAsia="Arial" w:hAnsi="Arial" w:cs="Arial"/>
          <w:color w:val="000000"/>
          <w:sz w:val="20"/>
          <w:szCs w:val="20"/>
        </w:rPr>
      </w:pPr>
      <w:r>
        <w:rPr>
          <w:rFonts w:ascii="Arial" w:eastAsia="Arial" w:hAnsi="Arial" w:cs="Arial"/>
          <w:color w:val="000000"/>
          <w:sz w:val="20"/>
          <w:szCs w:val="20"/>
        </w:rPr>
        <w:t xml:space="preserve">- Căn cứ quy định tại khoản 2 Điều 3 Luật Thuế thu nhập doanh nghiệp (TNDN) số 67/2025/QH15 (có hiệu lực từ ngày 01/10/2025, áp dụng kể từ kỳ tính thuế năm 2025) quy định: “2. </w:t>
      </w:r>
      <w:r>
        <w:rPr>
          <w:rFonts w:ascii="Arial" w:eastAsia="Arial" w:hAnsi="Arial" w:cs="Arial"/>
          <w:i/>
          <w:iCs/>
          <w:color w:val="000000"/>
          <w:sz w:val="20"/>
          <w:szCs w:val="20"/>
        </w:rPr>
        <w:t xml:space="preserve">Thu nhập khác bao gồm: ,...e) Thu nhập từ lãi </w:t>
      </w:r>
      <w:r>
        <w:rPr>
          <w:rFonts w:ascii="Arial" w:eastAsia="Arial" w:hAnsi="Arial" w:cs="Arial"/>
          <w:i/>
          <w:iCs/>
          <w:sz w:val="20"/>
          <w:szCs w:val="20"/>
        </w:rPr>
        <w:t>tiền</w:t>
      </w:r>
      <w:r>
        <w:rPr>
          <w:rFonts w:ascii="Arial" w:eastAsia="Arial" w:hAnsi="Arial" w:cs="Arial"/>
          <w:i/>
          <w:iCs/>
          <w:color w:val="000000"/>
          <w:sz w:val="20"/>
          <w:szCs w:val="20"/>
        </w:rPr>
        <w:t xml:space="preserve"> gửi, lãi cho vay v</w:t>
      </w:r>
      <w:r>
        <w:rPr>
          <w:rFonts w:ascii="Arial" w:eastAsia="Arial" w:hAnsi="Arial" w:cs="Arial"/>
          <w:i/>
          <w:iCs/>
          <w:color w:val="000000"/>
          <w:sz w:val="20"/>
          <w:szCs w:val="20"/>
          <w:lang w:val="en-US"/>
        </w:rPr>
        <w:t>ố</w:t>
      </w:r>
      <w:r>
        <w:rPr>
          <w:rFonts w:ascii="Arial" w:eastAsia="Arial" w:hAnsi="Arial" w:cs="Arial"/>
          <w:i/>
          <w:iCs/>
          <w:color w:val="000000"/>
          <w:sz w:val="20"/>
          <w:szCs w:val="20"/>
        </w:rPr>
        <w:t>n, bán ngoại tệ, tr</w:t>
      </w:r>
      <w:r>
        <w:rPr>
          <w:rFonts w:ascii="Arial" w:eastAsia="Arial" w:hAnsi="Arial" w:cs="Arial"/>
          <w:i/>
          <w:iCs/>
          <w:color w:val="000000"/>
          <w:sz w:val="20"/>
          <w:szCs w:val="20"/>
          <w:lang w:val="en-US"/>
        </w:rPr>
        <w:t>ừ</w:t>
      </w:r>
      <w:r>
        <w:rPr>
          <w:rFonts w:ascii="Arial" w:eastAsia="Arial" w:hAnsi="Arial" w:cs="Arial"/>
          <w:i/>
          <w:iCs/>
          <w:color w:val="000000"/>
          <w:sz w:val="20"/>
          <w:szCs w:val="20"/>
        </w:rPr>
        <w:t xml:space="preserve"> thu nhập từ hoạt động tín dụng của </w:t>
      </w:r>
      <w:r>
        <w:rPr>
          <w:rFonts w:ascii="Arial" w:eastAsia="Arial" w:hAnsi="Arial" w:cs="Arial"/>
          <w:i/>
          <w:iCs/>
          <w:sz w:val="20"/>
          <w:szCs w:val="20"/>
        </w:rPr>
        <w:t>tổ</w:t>
      </w:r>
      <w:r>
        <w:rPr>
          <w:rFonts w:ascii="Arial" w:eastAsia="Arial" w:hAnsi="Arial" w:cs="Arial"/>
          <w:i/>
          <w:iCs/>
          <w:color w:val="000000"/>
          <w:sz w:val="20"/>
          <w:szCs w:val="20"/>
        </w:rPr>
        <w:t xml:space="preserve"> chức tín dụng</w:t>
      </w:r>
      <w:r>
        <w:rPr>
          <w:rFonts w:ascii="Arial" w:eastAsia="Arial" w:hAnsi="Arial" w:cs="Arial"/>
          <w:color w:val="000000"/>
          <w:sz w:val="20"/>
          <w:szCs w:val="20"/>
        </w:rPr>
        <w:t xml:space="preserve"> ...” là thu nhập chịu thuế TNDN.</w:t>
      </w:r>
      <w:bookmarkStart w:id="3" w:name="bookmark=id.swziaxb9ovr9" w:colFirst="0" w:colLast="0"/>
      <w:bookmarkEnd w:id="3"/>
    </w:p>
    <w:p w:rsidR="00AA6376" w:rsidRDefault="00AA6376" w:rsidP="00AA6376">
      <w:pPr>
        <w:pBdr>
          <w:top w:val="nil"/>
          <w:left w:val="nil"/>
          <w:bottom w:val="nil"/>
          <w:right w:val="nil"/>
          <w:between w:val="nil"/>
        </w:pBdr>
        <w:spacing w:after="120"/>
        <w:ind w:left="660" w:firstLine="720"/>
        <w:jc w:val="both"/>
        <w:rPr>
          <w:rFonts w:ascii="Arial" w:eastAsia="Arial" w:hAnsi="Arial" w:cs="Arial"/>
          <w:color w:val="000000"/>
          <w:sz w:val="20"/>
          <w:szCs w:val="20"/>
        </w:rPr>
      </w:pPr>
      <w:r>
        <w:rPr>
          <w:rFonts w:ascii="Arial" w:eastAsia="Arial" w:hAnsi="Arial" w:cs="Arial"/>
          <w:color w:val="000000"/>
          <w:sz w:val="20"/>
          <w:szCs w:val="20"/>
        </w:rPr>
        <w:t>- Căn cứ quy định tại đi</w:t>
      </w:r>
      <w:r>
        <w:rPr>
          <w:rFonts w:ascii="Arial" w:eastAsia="Arial" w:hAnsi="Arial" w:cs="Arial"/>
          <w:color w:val="000000"/>
          <w:sz w:val="20"/>
          <w:szCs w:val="20"/>
          <w:lang w:val="en-US"/>
        </w:rPr>
        <w:t>ể</w:t>
      </w:r>
      <w:r>
        <w:rPr>
          <w:rFonts w:ascii="Arial" w:eastAsia="Arial" w:hAnsi="Arial" w:cs="Arial"/>
          <w:color w:val="000000"/>
          <w:sz w:val="20"/>
          <w:szCs w:val="20"/>
        </w:rPr>
        <w:t xml:space="preserve">m g khoản 3 Điều 3 Nghị định số 320/2025/NĐ- CP ngày 15/12/2025 của Chính phủ quy định chi tiết một số điều và biện pháp để tổ chức, hướng dẫn thi hành Luật Thuế thu nhập doanh nghiệp: “3. </w:t>
      </w:r>
      <w:r>
        <w:rPr>
          <w:rFonts w:ascii="Arial" w:eastAsia="Arial" w:hAnsi="Arial" w:cs="Arial"/>
          <w:i/>
          <w:iCs/>
          <w:color w:val="000000"/>
          <w:sz w:val="20"/>
          <w:szCs w:val="20"/>
        </w:rPr>
        <w:t xml:space="preserve">Thu nhập khác bao </w:t>
      </w:r>
      <w:r>
        <w:rPr>
          <w:rFonts w:ascii="Arial" w:eastAsia="Arial" w:hAnsi="Arial" w:cs="Arial"/>
          <w:i/>
          <w:iCs/>
          <w:sz w:val="20"/>
          <w:szCs w:val="20"/>
        </w:rPr>
        <w:t>gồm</w:t>
      </w:r>
      <w:r>
        <w:rPr>
          <w:rFonts w:ascii="Arial" w:eastAsia="Arial" w:hAnsi="Arial" w:cs="Arial"/>
          <w:i/>
          <w:iCs/>
          <w:color w:val="000000"/>
          <w:sz w:val="20"/>
          <w:szCs w:val="20"/>
        </w:rPr>
        <w:t xml:space="preserve">: ...g) Thu nhập từ lãi </w:t>
      </w:r>
      <w:r>
        <w:rPr>
          <w:rFonts w:ascii="Arial" w:eastAsia="Arial" w:hAnsi="Arial" w:cs="Arial"/>
          <w:i/>
          <w:iCs/>
          <w:sz w:val="20"/>
          <w:szCs w:val="20"/>
        </w:rPr>
        <w:t>tiền</w:t>
      </w:r>
      <w:r>
        <w:rPr>
          <w:rFonts w:ascii="Arial" w:eastAsia="Arial" w:hAnsi="Arial" w:cs="Arial"/>
          <w:i/>
          <w:iCs/>
          <w:color w:val="000000"/>
          <w:sz w:val="20"/>
          <w:szCs w:val="20"/>
        </w:rPr>
        <w:t xml:space="preserve"> gửi, lãi cho vay vốn, bán ngoại tệ (trừ thu nhập từ hoạt động cấp tín dụng, gửi tiền, kinh doanh ngoại tệ của </w:t>
      </w:r>
      <w:r>
        <w:rPr>
          <w:rFonts w:ascii="Arial" w:eastAsia="Arial" w:hAnsi="Arial" w:cs="Arial"/>
          <w:i/>
          <w:iCs/>
          <w:sz w:val="20"/>
          <w:szCs w:val="20"/>
        </w:rPr>
        <w:t>tổ</w:t>
      </w:r>
      <w:r>
        <w:rPr>
          <w:rFonts w:ascii="Arial" w:eastAsia="Arial" w:hAnsi="Arial" w:cs="Arial"/>
          <w:i/>
          <w:iCs/>
          <w:color w:val="000000"/>
          <w:sz w:val="20"/>
          <w:szCs w:val="20"/>
        </w:rPr>
        <w:t xml:space="preserve"> chức tín dụng), bao gồm: ... g2) Thu nhập từ hoạt động b</w:t>
      </w:r>
      <w:r>
        <w:rPr>
          <w:rFonts w:ascii="Arial" w:eastAsia="Arial" w:hAnsi="Arial" w:cs="Arial"/>
          <w:i/>
          <w:iCs/>
          <w:color w:val="000000"/>
          <w:sz w:val="20"/>
          <w:szCs w:val="20"/>
          <w:lang w:val="en-US"/>
        </w:rPr>
        <w:t>á</w:t>
      </w:r>
      <w:r>
        <w:rPr>
          <w:rFonts w:ascii="Arial" w:eastAsia="Arial" w:hAnsi="Arial" w:cs="Arial"/>
          <w:i/>
          <w:iCs/>
          <w:color w:val="000000"/>
          <w:sz w:val="20"/>
          <w:szCs w:val="20"/>
        </w:rPr>
        <w:t xml:space="preserve">n ngoại tệ được xác định bằng </w:t>
      </w:r>
      <w:r>
        <w:rPr>
          <w:rFonts w:ascii="Arial" w:eastAsia="Arial" w:hAnsi="Arial" w:cs="Arial"/>
          <w:i/>
          <w:iCs/>
          <w:sz w:val="20"/>
          <w:szCs w:val="20"/>
        </w:rPr>
        <w:t>tổng</w:t>
      </w:r>
      <w:r>
        <w:rPr>
          <w:rFonts w:ascii="Arial" w:eastAsia="Arial" w:hAnsi="Arial" w:cs="Arial"/>
          <w:i/>
          <w:iCs/>
          <w:color w:val="000000"/>
          <w:sz w:val="20"/>
          <w:szCs w:val="20"/>
        </w:rPr>
        <w:t xml:space="preserve"> số tiền thu từ bán ngoại tệ trừ đi </w:t>
      </w:r>
      <w:r>
        <w:rPr>
          <w:rFonts w:ascii="Arial" w:eastAsia="Arial" w:hAnsi="Arial" w:cs="Arial"/>
          <w:i/>
          <w:iCs/>
          <w:sz w:val="20"/>
          <w:szCs w:val="20"/>
        </w:rPr>
        <w:t>tổng</w:t>
      </w:r>
      <w:r>
        <w:rPr>
          <w:rFonts w:ascii="Arial" w:eastAsia="Arial" w:hAnsi="Arial" w:cs="Arial"/>
          <w:i/>
          <w:iCs/>
          <w:color w:val="000000"/>
          <w:sz w:val="20"/>
          <w:szCs w:val="20"/>
        </w:rPr>
        <w:t xml:space="preserve"> giá mua hoặc </w:t>
      </w:r>
      <w:r>
        <w:rPr>
          <w:rFonts w:ascii="Arial" w:eastAsia="Arial" w:hAnsi="Arial" w:cs="Arial"/>
          <w:i/>
          <w:iCs/>
          <w:sz w:val="20"/>
          <w:szCs w:val="20"/>
        </w:rPr>
        <w:t>tổng</w:t>
      </w:r>
      <w:r>
        <w:rPr>
          <w:rFonts w:ascii="Arial" w:eastAsia="Arial" w:hAnsi="Arial" w:cs="Arial"/>
          <w:i/>
          <w:iCs/>
          <w:color w:val="000000"/>
          <w:sz w:val="20"/>
          <w:szCs w:val="20"/>
        </w:rPr>
        <w:t xml:space="preserve"> gi</w:t>
      </w:r>
      <w:r>
        <w:rPr>
          <w:rFonts w:ascii="Arial" w:eastAsia="Arial" w:hAnsi="Arial" w:cs="Arial"/>
          <w:i/>
          <w:iCs/>
          <w:sz w:val="20"/>
          <w:szCs w:val="20"/>
        </w:rPr>
        <w:t>á</w:t>
      </w:r>
      <w:r>
        <w:rPr>
          <w:rFonts w:ascii="Arial" w:eastAsia="Arial" w:hAnsi="Arial" w:cs="Arial"/>
          <w:i/>
          <w:iCs/>
          <w:color w:val="000000"/>
          <w:sz w:val="20"/>
          <w:szCs w:val="20"/>
        </w:rPr>
        <w:t xml:space="preserve"> vốn của </w:t>
      </w:r>
      <w:r>
        <w:rPr>
          <w:rFonts w:ascii="Arial" w:eastAsia="Arial" w:hAnsi="Arial" w:cs="Arial"/>
          <w:i/>
          <w:iCs/>
          <w:sz w:val="20"/>
          <w:szCs w:val="20"/>
        </w:rPr>
        <w:t>số</w:t>
      </w:r>
      <w:r>
        <w:rPr>
          <w:rFonts w:ascii="Arial" w:eastAsia="Arial" w:hAnsi="Arial" w:cs="Arial"/>
          <w:i/>
          <w:iCs/>
          <w:color w:val="000000"/>
          <w:sz w:val="20"/>
          <w:szCs w:val="20"/>
        </w:rPr>
        <w:t xml:space="preserve"> lượng ngoại tệ bán ra:"</w:t>
      </w:r>
      <w:r>
        <w:rPr>
          <w:rFonts w:ascii="Arial" w:eastAsia="Arial" w:hAnsi="Arial" w:cs="Arial"/>
          <w:color w:val="000000"/>
          <w:sz w:val="20"/>
          <w:szCs w:val="20"/>
        </w:rPr>
        <w:t xml:space="preserve"> là thu nhập chịu thuế TNDN.</w:t>
      </w:r>
      <w:bookmarkStart w:id="4" w:name="bookmark=id.s6rgigayz3if" w:colFirst="0" w:colLast="0"/>
      <w:bookmarkEnd w:id="4"/>
    </w:p>
    <w:p w:rsidR="00AA6376" w:rsidRDefault="00AA6376" w:rsidP="00AA6376">
      <w:pPr>
        <w:pBdr>
          <w:top w:val="nil"/>
          <w:left w:val="nil"/>
          <w:bottom w:val="nil"/>
          <w:right w:val="nil"/>
          <w:between w:val="nil"/>
        </w:pBdr>
        <w:spacing w:after="120"/>
        <w:ind w:left="660" w:firstLine="720"/>
        <w:jc w:val="both"/>
        <w:rPr>
          <w:rFonts w:ascii="Arial" w:eastAsia="Arial" w:hAnsi="Arial" w:cs="Arial"/>
          <w:color w:val="000000"/>
          <w:sz w:val="20"/>
          <w:szCs w:val="20"/>
        </w:rPr>
      </w:pPr>
      <w:r>
        <w:rPr>
          <w:rFonts w:ascii="Arial" w:eastAsia="Arial" w:hAnsi="Arial" w:cs="Arial"/>
          <w:color w:val="000000"/>
          <w:sz w:val="20"/>
          <w:szCs w:val="20"/>
        </w:rPr>
        <w:t>- Căn cứ quy định tại Điều 3, Điều 5 Luật Thuế giá trị gia tăng (GTGT) số 48/2024/QH15 quy định về đối tượng chịu thuế và đối tượng không chịu thuế.</w:t>
      </w:r>
    </w:p>
    <w:p w:rsidR="00AA6376" w:rsidRDefault="00AA6376" w:rsidP="00AA6376">
      <w:pPr>
        <w:pBdr>
          <w:top w:val="nil"/>
          <w:left w:val="nil"/>
          <w:bottom w:val="nil"/>
          <w:right w:val="nil"/>
          <w:between w:val="nil"/>
        </w:pBdr>
        <w:spacing w:after="120"/>
        <w:ind w:left="660" w:firstLine="720"/>
        <w:jc w:val="both"/>
        <w:rPr>
          <w:rFonts w:ascii="Arial" w:eastAsia="Arial" w:hAnsi="Arial" w:cs="Arial"/>
          <w:color w:val="000000"/>
          <w:sz w:val="20"/>
          <w:szCs w:val="20"/>
        </w:rPr>
      </w:pPr>
      <w:r>
        <w:rPr>
          <w:rFonts w:ascii="Arial" w:eastAsia="Arial" w:hAnsi="Arial" w:cs="Arial"/>
          <w:color w:val="000000"/>
          <w:sz w:val="20"/>
          <w:szCs w:val="20"/>
        </w:rPr>
        <w:t>Căn cứ quy định tại khoản 1 Điều 4 Nghị định 123/2020/NĐ-CP (được sửa đ</w:t>
      </w:r>
      <w:r>
        <w:rPr>
          <w:rFonts w:ascii="Arial" w:eastAsia="Arial" w:hAnsi="Arial" w:cs="Arial"/>
          <w:color w:val="000000"/>
          <w:sz w:val="20"/>
          <w:szCs w:val="20"/>
          <w:lang w:val="en-US"/>
        </w:rPr>
        <w:t>ổ</w:t>
      </w:r>
      <w:r>
        <w:rPr>
          <w:rFonts w:ascii="Arial" w:eastAsia="Arial" w:hAnsi="Arial" w:cs="Arial"/>
          <w:color w:val="000000"/>
          <w:sz w:val="20"/>
          <w:szCs w:val="20"/>
        </w:rPr>
        <w:t xml:space="preserve">i bởi điểm a khoản 3 Điều 1 Nghị định 70/2025/NĐ-CP) quy định về nguyên tắc lập, quản lý, sử dụng hóa đơn, chứng từ: </w:t>
      </w:r>
      <w:r>
        <w:rPr>
          <w:rFonts w:ascii="Arial" w:eastAsia="Arial" w:hAnsi="Arial" w:cs="Arial"/>
          <w:color w:val="000000"/>
          <w:sz w:val="20"/>
          <w:szCs w:val="20"/>
          <w:lang w:val="en-US"/>
        </w:rPr>
        <w:t>“1</w:t>
      </w:r>
      <w:r>
        <w:rPr>
          <w:rFonts w:ascii="Arial" w:eastAsia="Arial" w:hAnsi="Arial" w:cs="Arial"/>
          <w:color w:val="000000"/>
          <w:sz w:val="20"/>
          <w:szCs w:val="20"/>
        </w:rPr>
        <w:t xml:space="preserve">. </w:t>
      </w:r>
      <w:r>
        <w:rPr>
          <w:rFonts w:ascii="Arial" w:eastAsia="Arial" w:hAnsi="Arial" w:cs="Arial"/>
          <w:i/>
          <w:iCs/>
          <w:color w:val="000000"/>
          <w:sz w:val="20"/>
          <w:szCs w:val="20"/>
        </w:rPr>
        <w:t>Kh</w:t>
      </w:r>
      <w:r>
        <w:rPr>
          <w:rFonts w:ascii="Arial" w:eastAsia="Arial" w:hAnsi="Arial" w:cs="Arial"/>
          <w:i/>
          <w:iCs/>
          <w:color w:val="000000"/>
          <w:sz w:val="20"/>
          <w:szCs w:val="20"/>
          <w:lang w:val="en-US"/>
        </w:rPr>
        <w:t>i</w:t>
      </w:r>
      <w:r>
        <w:rPr>
          <w:rFonts w:ascii="Arial" w:eastAsia="Arial" w:hAnsi="Arial" w:cs="Arial"/>
          <w:i/>
          <w:iCs/>
          <w:color w:val="000000"/>
          <w:sz w:val="20"/>
          <w:szCs w:val="20"/>
        </w:rPr>
        <w:t xml:space="preserve"> bán hàng hóa, cung cấp dịch vụ, người bán phải lập </w:t>
      </w:r>
      <w:r>
        <w:rPr>
          <w:rFonts w:ascii="Arial" w:eastAsia="Arial" w:hAnsi="Arial" w:cs="Arial"/>
          <w:i/>
          <w:iCs/>
          <w:sz w:val="20"/>
          <w:szCs w:val="20"/>
        </w:rPr>
        <w:t>hóa</w:t>
      </w:r>
      <w:r>
        <w:rPr>
          <w:rFonts w:ascii="Arial" w:eastAsia="Arial" w:hAnsi="Arial" w:cs="Arial"/>
          <w:i/>
          <w:iCs/>
          <w:color w:val="000000"/>
          <w:sz w:val="20"/>
          <w:szCs w:val="20"/>
        </w:rPr>
        <w:t xml:space="preserve"> đơn đ</w:t>
      </w:r>
      <w:r>
        <w:rPr>
          <w:rFonts w:ascii="Arial" w:eastAsia="Arial" w:hAnsi="Arial" w:cs="Arial"/>
          <w:i/>
          <w:iCs/>
          <w:sz w:val="20"/>
          <w:szCs w:val="20"/>
        </w:rPr>
        <w:t>ể</w:t>
      </w:r>
      <w:r>
        <w:rPr>
          <w:rFonts w:ascii="Arial" w:eastAsia="Arial" w:hAnsi="Arial" w:cs="Arial"/>
          <w:i/>
          <w:iCs/>
          <w:color w:val="000000"/>
          <w:sz w:val="20"/>
          <w:szCs w:val="20"/>
        </w:rPr>
        <w:t xml:space="preserve"> giao cho người mua ...”</w:t>
      </w:r>
    </w:p>
    <w:p w:rsidR="00AA6376" w:rsidRDefault="00AA6376" w:rsidP="00AA6376">
      <w:pPr>
        <w:pBdr>
          <w:top w:val="nil"/>
          <w:left w:val="nil"/>
          <w:bottom w:val="nil"/>
          <w:right w:val="nil"/>
          <w:between w:val="nil"/>
        </w:pBdr>
        <w:spacing w:after="120"/>
        <w:ind w:left="660" w:firstLine="720"/>
        <w:jc w:val="both"/>
        <w:rPr>
          <w:rFonts w:ascii="Arial" w:eastAsia="Arial" w:hAnsi="Arial" w:cs="Arial"/>
          <w:color w:val="000000"/>
          <w:sz w:val="20"/>
          <w:szCs w:val="20"/>
        </w:rPr>
      </w:pPr>
      <w:r>
        <w:rPr>
          <w:rFonts w:ascii="Arial" w:eastAsia="Arial" w:hAnsi="Arial" w:cs="Arial"/>
          <w:color w:val="000000"/>
          <w:sz w:val="20"/>
          <w:szCs w:val="20"/>
        </w:rPr>
        <w:t xml:space="preserve">Căn cứ các quy định nêu trên, trường hợp doanh nghiệp sản xuất, thương mại, dịch vụ thông thường (không phải tổ chức tín dụng hoặc đại lý kinh doanh ngoại tệ) có nguồn thu ngoại tệ từ nước ngoài (do xuất khẩu hàng hóa, cung cấp dịch vụ, hoặc nhận thanh toán bằng ngoại tệ) sau đó bán lại (quy </w:t>
      </w:r>
      <w:r>
        <w:rPr>
          <w:rFonts w:ascii="Arial" w:eastAsia="Arial" w:hAnsi="Arial" w:cs="Arial"/>
          <w:sz w:val="20"/>
          <w:szCs w:val="20"/>
        </w:rPr>
        <w:t>đổi</w:t>
      </w:r>
      <w:r>
        <w:rPr>
          <w:rFonts w:ascii="Arial" w:eastAsia="Arial" w:hAnsi="Arial" w:cs="Arial"/>
          <w:color w:val="000000"/>
          <w:sz w:val="20"/>
          <w:szCs w:val="20"/>
        </w:rPr>
        <w:t>) ngoại tệ sang Việt Nam đồng tại các Ngân hàng thương mại thì khoản chênh lệch do tỷ giá không thuộc đối tượng điều chỉnh của pháp luật về thuế GTGT và không phải lập hóa đơn đối với hoạt động không phải là hoạt động bán hàng hóa, cung cấp dịch vụ. Thu nhập từ hoạt động bán ngoại tệ được xác định theo quy định của pháp luật về thuế TNDN tại thời điểm phát sinh.</w:t>
      </w:r>
    </w:p>
    <w:p w:rsidR="00AA6376" w:rsidRDefault="00AA6376" w:rsidP="00AA6376">
      <w:pPr>
        <w:pBdr>
          <w:top w:val="nil"/>
          <w:left w:val="nil"/>
          <w:bottom w:val="nil"/>
          <w:right w:val="nil"/>
          <w:between w:val="nil"/>
        </w:pBdr>
        <w:spacing w:after="120"/>
        <w:ind w:left="640" w:firstLine="720"/>
        <w:jc w:val="both"/>
        <w:rPr>
          <w:rFonts w:ascii="Arial" w:eastAsia="Arial" w:hAnsi="Arial" w:cs="Arial"/>
          <w:color w:val="000000"/>
          <w:sz w:val="20"/>
          <w:szCs w:val="20"/>
        </w:rPr>
      </w:pPr>
      <w:r>
        <w:rPr>
          <w:rFonts w:ascii="Arial" w:eastAsia="Arial" w:hAnsi="Arial" w:cs="Arial"/>
          <w:color w:val="000000"/>
          <w:sz w:val="20"/>
          <w:szCs w:val="20"/>
        </w:rPr>
        <w:t>Đề nghị Công ty ES hướng dẫn doanh nghiệp liên hệ với cơ quan thuế quản lý trực tiếp dựa trên hồ sơ thực tế để được hướng dẫn thực hiện theo đúng quy định của pháp luật.</w:t>
      </w:r>
    </w:p>
    <w:p w:rsidR="00AA6376" w:rsidRDefault="00AA6376" w:rsidP="00AA6376">
      <w:pPr>
        <w:pBdr>
          <w:top w:val="nil"/>
          <w:left w:val="nil"/>
          <w:bottom w:val="nil"/>
          <w:right w:val="nil"/>
          <w:between w:val="nil"/>
        </w:pBdr>
        <w:spacing w:after="120"/>
        <w:ind w:left="640" w:firstLine="720"/>
        <w:jc w:val="both"/>
        <w:rPr>
          <w:rFonts w:ascii="Arial" w:eastAsia="Arial" w:hAnsi="Arial" w:cs="Arial"/>
          <w:color w:val="000000"/>
          <w:sz w:val="20"/>
          <w:szCs w:val="20"/>
        </w:rPr>
      </w:pPr>
      <w:r>
        <w:rPr>
          <w:rFonts w:ascii="Arial" w:eastAsia="Arial" w:hAnsi="Arial" w:cs="Arial"/>
          <w:color w:val="000000"/>
          <w:sz w:val="20"/>
          <w:szCs w:val="20"/>
        </w:rPr>
        <w:t xml:space="preserve">Cục Quản lý, giám sát chính sách </w:t>
      </w:r>
      <w:r>
        <w:rPr>
          <w:rFonts w:ascii="Arial" w:eastAsia="Arial" w:hAnsi="Arial" w:cs="Arial"/>
          <w:sz w:val="20"/>
          <w:szCs w:val="20"/>
        </w:rPr>
        <w:t>thuế</w:t>
      </w:r>
      <w:r>
        <w:rPr>
          <w:rFonts w:ascii="Arial" w:eastAsia="Arial" w:hAnsi="Arial" w:cs="Arial"/>
          <w:color w:val="000000"/>
          <w:sz w:val="20"/>
          <w:szCs w:val="20"/>
        </w:rPr>
        <w:t>, phí và lệ phí trả lời Công ty ES đê biết và thực hiện đúng quy định./.</w:t>
      </w:r>
    </w:p>
    <w:tbl>
      <w:tblPr>
        <w:tblW w:w="9020" w:type="dxa"/>
        <w:tblLayout w:type="fixed"/>
        <w:tblLook w:val="0400" w:firstRow="0" w:lastRow="0" w:firstColumn="0" w:lastColumn="0" w:noHBand="0" w:noVBand="1"/>
      </w:tblPr>
      <w:tblGrid>
        <w:gridCol w:w="3544"/>
        <w:gridCol w:w="5476"/>
      </w:tblGrid>
      <w:tr w:rsidR="00AA6376" w:rsidTr="00E550BB">
        <w:tc>
          <w:tcPr>
            <w:tcW w:w="3544" w:type="dxa"/>
            <w:shd w:val="clear" w:color="auto" w:fill="FFFFFF"/>
            <w:tcMar>
              <w:top w:w="0" w:type="dxa"/>
              <w:left w:w="108" w:type="dxa"/>
              <w:bottom w:w="0" w:type="dxa"/>
              <w:right w:w="108" w:type="dxa"/>
            </w:tcMar>
          </w:tcPr>
          <w:p w:rsidR="00AA6376" w:rsidRDefault="00AA6376" w:rsidP="00E550BB">
            <w:pPr>
              <w:pBdr>
                <w:top w:val="nil"/>
                <w:left w:val="nil"/>
                <w:bottom w:val="nil"/>
                <w:right w:val="nil"/>
                <w:between w:val="nil"/>
              </w:pBdr>
              <w:tabs>
                <w:tab w:val="left" w:pos="133"/>
              </w:tabs>
              <w:rPr>
                <w:rFonts w:ascii="Arial" w:eastAsia="Arial" w:hAnsi="Arial" w:cs="Arial"/>
                <w:b/>
                <w:bCs/>
                <w:i/>
                <w:iCs/>
                <w:sz w:val="20"/>
                <w:szCs w:val="20"/>
              </w:rPr>
            </w:pPr>
            <w:bookmarkStart w:id="5" w:name="_heading=h.db3zz3jf0i9x" w:colFirst="0" w:colLast="0"/>
            <w:bookmarkEnd w:id="5"/>
            <w:r>
              <w:rPr>
                <w:rFonts w:ascii="Arial" w:eastAsia="Arial" w:hAnsi="Arial" w:cs="Arial"/>
                <w:b/>
                <w:bCs/>
                <w:i/>
                <w:iCs/>
                <w:sz w:val="20"/>
                <w:szCs w:val="20"/>
              </w:rPr>
              <w:t>Nơi nhận:</w:t>
            </w:r>
          </w:p>
          <w:p w:rsidR="00AA6376" w:rsidRDefault="00AA6376" w:rsidP="00E550BB">
            <w:pPr>
              <w:pBdr>
                <w:top w:val="nil"/>
                <w:left w:val="nil"/>
                <w:bottom w:val="nil"/>
                <w:right w:val="nil"/>
                <w:between w:val="nil"/>
              </w:pBdr>
              <w:tabs>
                <w:tab w:val="left" w:pos="133"/>
              </w:tabs>
              <w:rPr>
                <w:rFonts w:ascii="Arial" w:eastAsia="Arial" w:hAnsi="Arial" w:cs="Arial"/>
                <w:sz w:val="20"/>
                <w:szCs w:val="20"/>
              </w:rPr>
            </w:pPr>
            <w:r>
              <w:rPr>
                <w:rFonts w:ascii="Arial" w:eastAsia="Arial" w:hAnsi="Arial" w:cs="Arial"/>
                <w:sz w:val="20"/>
                <w:szCs w:val="20"/>
              </w:rPr>
              <w:t>- Như trên;</w:t>
            </w:r>
            <w:bookmarkStart w:id="6" w:name="bookmark=id.dre8os1w4wa1" w:colFirst="0" w:colLast="0"/>
            <w:bookmarkEnd w:id="6"/>
          </w:p>
          <w:p w:rsidR="00AA6376" w:rsidRDefault="00AA6376" w:rsidP="00E550BB">
            <w:pPr>
              <w:pBdr>
                <w:top w:val="nil"/>
                <w:left w:val="nil"/>
                <w:bottom w:val="nil"/>
                <w:right w:val="nil"/>
                <w:between w:val="nil"/>
              </w:pBdr>
              <w:tabs>
                <w:tab w:val="left" w:pos="133"/>
              </w:tabs>
              <w:rPr>
                <w:rFonts w:ascii="Arial" w:eastAsia="Arial" w:hAnsi="Arial" w:cs="Arial"/>
                <w:sz w:val="20"/>
                <w:szCs w:val="20"/>
              </w:rPr>
            </w:pPr>
            <w:r>
              <w:rPr>
                <w:rFonts w:ascii="Arial" w:eastAsia="Arial" w:hAnsi="Arial" w:cs="Arial"/>
                <w:sz w:val="20"/>
                <w:szCs w:val="20"/>
              </w:rPr>
              <w:t>- Cục trưởng (để báo cáo);</w:t>
            </w:r>
            <w:bookmarkStart w:id="7" w:name="bookmark=id.todr0arhqe7x" w:colFirst="0" w:colLast="0"/>
            <w:bookmarkEnd w:id="7"/>
          </w:p>
          <w:p w:rsidR="00AA6376" w:rsidRDefault="00AA6376" w:rsidP="00E550BB">
            <w:pPr>
              <w:pBdr>
                <w:top w:val="nil"/>
                <w:left w:val="nil"/>
                <w:bottom w:val="nil"/>
                <w:right w:val="nil"/>
                <w:between w:val="nil"/>
              </w:pBdr>
              <w:tabs>
                <w:tab w:val="left" w:pos="133"/>
              </w:tabs>
              <w:rPr>
                <w:rFonts w:ascii="Arial" w:eastAsia="Arial" w:hAnsi="Arial" w:cs="Arial"/>
                <w:sz w:val="20"/>
                <w:szCs w:val="20"/>
              </w:rPr>
            </w:pPr>
            <w:r>
              <w:rPr>
                <w:rFonts w:ascii="Arial" w:eastAsia="Arial" w:hAnsi="Arial" w:cs="Arial"/>
                <w:sz w:val="20"/>
                <w:szCs w:val="20"/>
              </w:rPr>
              <w:t>- Phó Cục trưởng Lưu Đức Huy (đ</w:t>
            </w:r>
            <w:r>
              <w:rPr>
                <w:rFonts w:ascii="Arial" w:eastAsia="Arial" w:hAnsi="Arial" w:cs="Arial"/>
                <w:sz w:val="20"/>
                <w:szCs w:val="20"/>
                <w:lang w:val="en-US"/>
              </w:rPr>
              <w:t>ể</w:t>
            </w:r>
            <w:r>
              <w:rPr>
                <w:rFonts w:ascii="Arial" w:eastAsia="Arial" w:hAnsi="Arial" w:cs="Arial"/>
                <w:sz w:val="20"/>
                <w:szCs w:val="20"/>
              </w:rPr>
              <w:t xml:space="preserve"> báo cáo);</w:t>
            </w:r>
            <w:bookmarkStart w:id="8" w:name="bookmark=id.3byomq5leixs" w:colFirst="0" w:colLast="0"/>
            <w:bookmarkEnd w:id="8"/>
          </w:p>
          <w:p w:rsidR="00AA6376" w:rsidRDefault="00AA6376" w:rsidP="00E550BB">
            <w:pPr>
              <w:pBdr>
                <w:top w:val="nil"/>
                <w:left w:val="nil"/>
                <w:bottom w:val="nil"/>
                <w:right w:val="nil"/>
                <w:between w:val="nil"/>
              </w:pBdr>
              <w:tabs>
                <w:tab w:val="left" w:pos="133"/>
              </w:tabs>
              <w:rPr>
                <w:rFonts w:ascii="Arial" w:eastAsia="Arial" w:hAnsi="Arial" w:cs="Arial"/>
                <w:sz w:val="20"/>
                <w:szCs w:val="20"/>
              </w:rPr>
            </w:pPr>
            <w:r>
              <w:rPr>
                <w:rFonts w:ascii="Arial" w:eastAsia="Arial" w:hAnsi="Arial" w:cs="Arial"/>
                <w:sz w:val="20"/>
                <w:szCs w:val="20"/>
              </w:rPr>
              <w:t>- Cục QLKT, Vụ PC, Cục Thuế;</w:t>
            </w:r>
            <w:bookmarkStart w:id="9" w:name="bookmark=id.7v442s8nvwvv" w:colFirst="0" w:colLast="0"/>
            <w:bookmarkEnd w:id="9"/>
          </w:p>
          <w:p w:rsidR="00AA6376" w:rsidRDefault="00AA6376" w:rsidP="00E550BB">
            <w:pPr>
              <w:pBdr>
                <w:top w:val="nil"/>
                <w:left w:val="nil"/>
                <w:bottom w:val="nil"/>
                <w:right w:val="nil"/>
                <w:between w:val="nil"/>
              </w:pBdr>
              <w:tabs>
                <w:tab w:val="left" w:pos="133"/>
              </w:tabs>
              <w:rPr>
                <w:rFonts w:ascii="Arial" w:eastAsia="Arial" w:hAnsi="Arial" w:cs="Arial"/>
                <w:sz w:val="20"/>
                <w:szCs w:val="20"/>
              </w:rPr>
            </w:pPr>
            <w:r>
              <w:rPr>
                <w:rFonts w:ascii="Arial" w:eastAsia="Arial" w:hAnsi="Arial" w:cs="Arial"/>
                <w:sz w:val="20"/>
                <w:szCs w:val="20"/>
              </w:rPr>
              <w:t>- Lưu: VT, GTGT.</w:t>
            </w:r>
          </w:p>
        </w:tc>
        <w:tc>
          <w:tcPr>
            <w:tcW w:w="5476" w:type="dxa"/>
            <w:shd w:val="clear" w:color="auto" w:fill="FFFFFF"/>
            <w:tcMar>
              <w:top w:w="0" w:type="dxa"/>
              <w:left w:w="108" w:type="dxa"/>
              <w:bottom w:w="0" w:type="dxa"/>
              <w:right w:w="108" w:type="dxa"/>
            </w:tcMar>
          </w:tcPr>
          <w:p w:rsidR="00AA6376" w:rsidRDefault="00AA6376" w:rsidP="00E550BB">
            <w:pPr>
              <w:spacing w:before="120" w:after="120"/>
              <w:jc w:val="center"/>
              <w:rPr>
                <w:rFonts w:ascii="Arial" w:eastAsia="Arial" w:hAnsi="Arial" w:cs="Arial"/>
                <w:b/>
                <w:bCs/>
                <w:sz w:val="20"/>
                <w:szCs w:val="20"/>
              </w:rPr>
            </w:pPr>
            <w:r>
              <w:rPr>
                <w:rFonts w:ascii="Arial" w:eastAsia="Arial" w:hAnsi="Arial" w:cs="Arial"/>
                <w:b/>
                <w:bCs/>
                <w:sz w:val="20"/>
                <w:szCs w:val="20"/>
              </w:rPr>
              <w:t>TL. CỤC TRƯỞNG</w:t>
            </w:r>
          </w:p>
          <w:p w:rsidR="00AA6376" w:rsidRDefault="00AA6376" w:rsidP="00E550BB">
            <w:pPr>
              <w:spacing w:before="120" w:after="120"/>
              <w:jc w:val="center"/>
              <w:rPr>
                <w:rFonts w:ascii="Arial" w:eastAsia="Arial" w:hAnsi="Arial" w:cs="Arial"/>
                <w:b/>
                <w:bCs/>
                <w:sz w:val="20"/>
                <w:szCs w:val="20"/>
              </w:rPr>
            </w:pPr>
            <w:r>
              <w:rPr>
                <w:rFonts w:ascii="Arial" w:eastAsia="Arial" w:hAnsi="Arial" w:cs="Arial"/>
                <w:b/>
                <w:bCs/>
                <w:sz w:val="20"/>
                <w:szCs w:val="20"/>
              </w:rPr>
              <w:t>TRƯỞNG PHÒNG</w:t>
            </w:r>
          </w:p>
          <w:p w:rsidR="00AA6376" w:rsidRDefault="00AA6376" w:rsidP="00E550BB">
            <w:pPr>
              <w:spacing w:before="120" w:after="120"/>
              <w:jc w:val="center"/>
              <w:rPr>
                <w:rFonts w:ascii="Arial" w:eastAsia="Arial" w:hAnsi="Arial" w:cs="Arial"/>
                <w:b/>
                <w:bCs/>
                <w:sz w:val="20"/>
                <w:szCs w:val="20"/>
              </w:rPr>
            </w:pPr>
            <w:r>
              <w:rPr>
                <w:rFonts w:ascii="Arial" w:eastAsia="Arial" w:hAnsi="Arial" w:cs="Arial"/>
                <w:b/>
                <w:bCs/>
                <w:sz w:val="20"/>
                <w:szCs w:val="20"/>
              </w:rPr>
              <w:t>PHÒNG THUẾ GIÁ TRỊ GIA TĂNG,</w:t>
            </w:r>
          </w:p>
          <w:p w:rsidR="00AA6376" w:rsidRDefault="00AA6376" w:rsidP="00E550BB">
            <w:pPr>
              <w:spacing w:before="120" w:after="120"/>
              <w:jc w:val="center"/>
              <w:rPr>
                <w:rFonts w:ascii="Arial" w:eastAsia="Arial" w:hAnsi="Arial" w:cs="Arial"/>
                <w:b/>
                <w:bCs/>
                <w:sz w:val="20"/>
                <w:szCs w:val="20"/>
              </w:rPr>
            </w:pPr>
            <w:r>
              <w:rPr>
                <w:rFonts w:ascii="Arial" w:eastAsia="Arial" w:hAnsi="Arial" w:cs="Arial"/>
                <w:b/>
                <w:bCs/>
                <w:sz w:val="20"/>
                <w:szCs w:val="20"/>
              </w:rPr>
              <w:t>THUẾ TIÊU THỤ ĐẶC BIỆT</w:t>
            </w:r>
          </w:p>
          <w:p w:rsidR="00AA6376" w:rsidRDefault="00AA6376" w:rsidP="00E550BB">
            <w:pPr>
              <w:spacing w:before="120" w:after="120"/>
              <w:jc w:val="center"/>
              <w:rPr>
                <w:rFonts w:ascii="Arial" w:eastAsia="Arial" w:hAnsi="Arial" w:cs="Arial"/>
                <w:b/>
                <w:bCs/>
                <w:sz w:val="20"/>
                <w:szCs w:val="20"/>
              </w:rPr>
            </w:pPr>
          </w:p>
          <w:p w:rsidR="00AA6376" w:rsidRDefault="00AA6376" w:rsidP="00E550BB">
            <w:pPr>
              <w:spacing w:before="120" w:after="120"/>
              <w:jc w:val="center"/>
              <w:rPr>
                <w:rFonts w:ascii="Arial" w:eastAsia="Arial" w:hAnsi="Arial" w:cs="Arial"/>
                <w:sz w:val="20"/>
                <w:szCs w:val="20"/>
              </w:rPr>
            </w:pPr>
            <w:bookmarkStart w:id="10" w:name="_heading=h.44vm0cw2tqic" w:colFirst="0" w:colLast="0"/>
            <w:bookmarkEnd w:id="10"/>
            <w:r>
              <w:rPr>
                <w:rFonts w:ascii="Arial" w:eastAsia="Arial" w:hAnsi="Arial" w:cs="Arial"/>
                <w:b/>
                <w:bCs/>
                <w:sz w:val="20"/>
                <w:szCs w:val="20"/>
              </w:rPr>
              <w:t>Trần Thị Tuyết</w:t>
            </w:r>
          </w:p>
        </w:tc>
      </w:tr>
    </w:tbl>
    <w:p w:rsidR="00AA6376" w:rsidRDefault="00AA6376" w:rsidP="00AA6376">
      <w:pPr>
        <w:pBdr>
          <w:top w:val="nil"/>
          <w:left w:val="nil"/>
          <w:bottom w:val="nil"/>
          <w:right w:val="nil"/>
          <w:between w:val="nil"/>
        </w:pBdr>
        <w:tabs>
          <w:tab w:val="left" w:pos="901"/>
        </w:tabs>
        <w:spacing w:after="60"/>
        <w:rPr>
          <w:rFonts w:ascii="Arial" w:eastAsia="Arial" w:hAnsi="Arial" w:cs="Arial"/>
          <w:color w:val="000000"/>
          <w:sz w:val="20"/>
          <w:szCs w:val="20"/>
        </w:rPr>
      </w:pPr>
      <w:bookmarkStart w:id="11" w:name="bookmark=id.9ukpb78g790u" w:colFirst="0" w:colLast="0"/>
      <w:bookmarkEnd w:id="11"/>
    </w:p>
    <w:sectPr w:rsidR="00AA6376" w:rsidSect="00AA6376">
      <w:type w:val="continuous"/>
      <w:pgSz w:w="11900" w:h="16840"/>
      <w:pgMar w:top="1440" w:right="1440" w:bottom="1440" w:left="1440" w:header="964" w:footer="641"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6C87" w:rsidRDefault="00AA6376">
    <w:pPr>
      <w:pBdr>
        <w:top w:val="nil"/>
        <w:left w:val="nil"/>
        <w:bottom w:val="nil"/>
        <w:right w:val="nil"/>
        <w:between w:val="nil"/>
      </w:pBdr>
      <w:tabs>
        <w:tab w:val="center" w:pos="4680"/>
        <w:tab w:val="right" w:pos="9360"/>
      </w:tabs>
      <w:rPr>
        <w:color w:val="000000"/>
      </w:rPr>
    </w:pPr>
    <w:bookmarkStart w:id="0" w:name="_heading=h.wwo8i35lh15e" w:colFirst="0" w:colLast="0"/>
    <w:bookmarkEnd w:id="0"/>
    <w:r>
      <w:rPr>
        <w:rFonts w:ascii="Arial" w:eastAsia="Arial" w:hAnsi="Arial" w:cs="Arial"/>
        <w:b/>
        <w:bCs/>
        <w:noProof/>
        <w:color w:val="000000"/>
        <w:lang w:val="en-US"/>
      </w:rPr>
      <w:drawing>
        <wp:inline distT="0" distB="0" distL="0" distR="0" wp14:anchorId="61024478" wp14:editId="2F09A276">
          <wp:extent cx="5727700" cy="570865"/>
          <wp:effectExtent l="0" t="0" r="0" b="0"/>
          <wp:docPr id="15517167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27700" cy="570865"/>
                  </a:xfrm>
                  <a:prstGeom prst="rect">
                    <a:avLst/>
                  </a:prstGeom>
                  <a:ln/>
                </pic:spPr>
              </pic:pic>
            </a:graphicData>
          </a:graphic>
        </wp:inline>
      </w:drawing>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376"/>
    <w:rsid w:val="00064E5B"/>
    <w:rsid w:val="00094344"/>
    <w:rsid w:val="00170AC5"/>
    <w:rsid w:val="002303AB"/>
    <w:rsid w:val="00255A29"/>
    <w:rsid w:val="00370D79"/>
    <w:rsid w:val="003F0296"/>
    <w:rsid w:val="00524465"/>
    <w:rsid w:val="005260CF"/>
    <w:rsid w:val="00530F3B"/>
    <w:rsid w:val="006B36E9"/>
    <w:rsid w:val="0090164F"/>
    <w:rsid w:val="00986072"/>
    <w:rsid w:val="00AA6376"/>
    <w:rsid w:val="00B67918"/>
    <w:rsid w:val="00CE173D"/>
    <w:rsid w:val="00E43485"/>
    <w:rsid w:val="00FF1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467D"/>
  <w15:chartTrackingRefBased/>
  <w15:docId w15:val="{C93677A0-969B-4EAD-ABE2-455DA06F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A6376"/>
    <w:pPr>
      <w:widowControl w:val="0"/>
      <w:spacing w:after="0" w:line="240" w:lineRule="auto"/>
    </w:pPr>
    <w:rPr>
      <w:rFonts w:ascii="Courier New" w:eastAsia="Courier New" w:hAnsi="Courier New" w:cs="Courier New"/>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2025-12-30T07:13:00Z</dcterms:created>
  <dcterms:modified xsi:type="dcterms:W3CDTF">2025-12-30T07:14:00Z</dcterms:modified>
</cp:coreProperties>
</file>