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pBdr>
          <w:bottom w:val="single" w:color="1F4E79" w:sz="18" w:space="8"/>
        </w:pBdr>
        <w:spacing w:after="200"/>
      </w:pPr>
      <w:r>
        <w:rPr>
          <w:rFonts w:ascii="Arial" w:cs="Arial" w:eastAsia="Arial" w:hAnsi="Arial"/>
          <w:b/>
          <w:bCs/>
          <w:color w:val="1F4E79"/>
          <w:spacing w:val="240"/>
          <w:sz w:val="28"/>
          <w:szCs w:val="28"/>
        </w:rPr>
        <w:t xml:space="preserve">KATON</w:t>
      </w:r>
    </w:p>
    <w:p>
      <w:pPr>
        <w:spacing w:after="80" w:before="200"/>
      </w:pPr>
      <w:r>
        <w:rPr>
          <w:rFonts w:ascii="Arial" w:cs="Arial" w:eastAsia="Arial" w:hAnsi="Arial"/>
          <w:b/>
          <w:bCs/>
          <w:color w:val="1A1A1A"/>
          <w:sz w:val="56"/>
          <w:szCs w:val="56"/>
        </w:rPr>
        <w:t xml:space="preserve">Technical Architecture</w:t>
      </w:r>
    </w:p>
    <w:p>
      <w:pPr>
        <w:spacing w:after="400"/>
      </w:pPr>
      <w:r>
        <w:rPr>
          <w:rFonts w:ascii="Arial" w:cs="Arial" w:eastAsia="Arial" w:hAnsi="Arial"/>
          <w:color w:val="595959"/>
          <w:sz w:val="28"/>
          <w:szCs w:val="28"/>
        </w:rPr>
        <w:t xml:space="preserve">Base tokenized-stock credit desk</w:t>
      </w:r>
    </w:p>
    <w:p>
      <w:pPr>
        <w:spacing w:after="160" w:before="0" w:line="276"/>
      </w:pPr>
      <w:r>
        <w:rPr>
          <w:rFonts w:ascii="Arial" w:cs="Arial" w:eastAsia="Arial" w:hAnsi="Arial"/>
          <w:sz w:val="22"/>
          <w:szCs w:val="22"/>
        </w:rPr>
        <w:t xml:space="preserve">A public liquidation request-for-quote, curated native-USDC facilities, and typed adapters over Aave, Morpho, and Euler. Ranking is off-chain. Settlement is one Base transaction. The coordination API is keyless.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Field</w:t>
            </w:r>
          </w:p>
        </w:tc>
        <w:tc>
          <w:tcPr>
            <w:tcW w:type="dxa" w:w="616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Value</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Document</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Katon Technical Architecture</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Version</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1.0</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Date</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8 September 2026</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Status</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Design reviewed  ·  D1–D15 locked</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Audience</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Engineering, security, operations, stakeholders</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Network</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Base Sepolia 84532 first; gated Base mainnet 8453</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Classification</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Internal</w:t>
            </w:r>
          </w:p>
        </w:tc>
      </w:tr>
    </w:tbl>
    <w:p>
      <w:pPr>
        <w:spacing w:after="120"/>
      </w:pPr>
    </w:p>
    <w:p>
      <w:pPr>
        <w:spacing w:after="160" w:line="276"/>
      </w:pPr>
      <w:r>
        <w:rPr>
          <w:rFonts w:ascii="Arial" w:cs="Arial" w:eastAsia="Arial" w:hAnsi="Arial"/>
          <w:i/>
          <w:iCs/>
          <w:color w:val="595959"/>
          <w:sz w:val="20"/>
          <w:szCs w:val="20"/>
        </w:rPr>
        <w:t xml:space="preserve">Product copy names Katon and Base only. Editable UML sources live in docs/architecture/diagrams/. This file is the stakeholder rendering.</w:t>
      </w:r>
    </w:p>
    <w:p>
      <w:r>
        <w:br w:type="page"/>
      </w:r>
    </w:p>
    <w:p>
      <w:pPr>
        <w:pStyle w:val="Heading1"/>
        <w:pBdr>
          <w:bottom w:val="single" w:color="1F4E79" w:sz="8" w:space="4"/>
        </w:pBdr>
        <w:spacing w:after="160" w:before="320"/>
      </w:pPr>
      <w:bookmarkStart w:name="doc-control" w:id="1"/>
      <w:r>
        <w:rPr>
          <w:rFonts w:ascii="Arial" w:cs="Arial" w:eastAsia="Arial" w:hAnsi="Arial"/>
          <w:b/>
          <w:bCs/>
          <w:color w:val="1F4E79"/>
          <w:sz w:val="32"/>
          <w:szCs w:val="32"/>
        </w:rPr>
        <w:t xml:space="preserve">Document control</w:t>
      </w:r>
      <w:bookmarkEnd w:id="1"/>
    </w:p>
    <w:p>
      <w:pPr>
        <w:spacing w:after="160" w:before="0" w:line="276"/>
      </w:pPr>
      <w:r>
        <w:rPr>
          <w:rFonts w:ascii="Arial" w:cs="Arial" w:eastAsia="Arial" w:hAnsi="Arial"/>
          <w:sz w:val="22"/>
          <w:szCs w:val="22"/>
        </w:rPr>
        <w:t xml:space="preserve">This is the stakeholder architecture for Katon on Base. It describes the protocol shape, contracts, flows, stack, storage, settlement math, events, keepers, and threat model. Implementation research that is still open is listed in Appendix B and is not invented here.</w:t>
      </w:r>
    </w:p>
    <w:p>
      <w:pPr>
        <w:pStyle w:val="Heading2"/>
        <w:spacing w:after="120" w:before="260"/>
      </w:pPr>
      <w:bookmarkStart w:name="rel" w:id="2"/>
      <w:r>
        <w:rPr>
          <w:rFonts w:ascii="Arial" w:cs="Arial" w:eastAsia="Arial" w:hAnsi="Arial"/>
          <w:b/>
          <w:bCs/>
          <w:color w:val="1F4E79"/>
          <w:sz w:val="26"/>
          <w:szCs w:val="26"/>
        </w:rPr>
        <w:t xml:space="preserve">Related documents</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Document</w:t>
            </w:r>
          </w:p>
        </w:tc>
        <w:tc>
          <w:tcPr>
            <w:tcW w:type="dxa" w:w="616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Role</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Technical architecture (markdown)</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Canonical source for this file</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Feature design, 8 September 2026</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Reviewed design, locked D1–D15</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Requirements, 8 September 2026</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Requirements and SC mapping</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Architecture diagrams</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Editable draw.io UML and PNG exports</w:t>
            </w:r>
          </w:p>
        </w:tc>
      </w:tr>
    </w:tbl>
    <w:p>
      <w:pPr>
        <w:spacing w:after="120"/>
      </w:pPr>
    </w:p>
    <w:p>
      <w:pPr>
        <w:pStyle w:val="Heading2"/>
        <w:spacing w:after="120" w:before="260"/>
      </w:pPr>
      <w:bookmarkStart w:name="howto" w:id="3"/>
      <w:r>
        <w:rPr>
          <w:rFonts w:ascii="Arial" w:cs="Arial" w:eastAsia="Arial" w:hAnsi="Arial"/>
          <w:b/>
          <w:bCs/>
          <w:color w:val="1F4E79"/>
          <w:sz w:val="26"/>
          <w:szCs w:val="26"/>
        </w:rPr>
        <w:t xml:space="preserve">How to read this document</w:t>
      </w:r>
      <w:bookmarkEnd w:id="3"/>
    </w:p>
    <w:p>
      <w:pPr>
        <w:pStyle w:val="ListParagraph"/>
        <w:numPr>
          <w:ilvl w:val="0"/>
          <w:numId w:val="2"/>
        </w:numPr>
        <w:spacing w:after="60" w:line="276"/>
      </w:pPr>
      <w:r>
        <w:rPr>
          <w:rFonts w:ascii="Arial" w:cs="Arial" w:eastAsia="Arial" w:hAnsi="Arial"/>
          <w:sz w:val="22"/>
          <w:szCs w:val="22"/>
        </w:rPr>
        <w:t xml:space="preserve">Sections 1–2 state the product and the six-part protocol shape.</w:t>
      </w:r>
    </w:p>
    <w:p>
      <w:pPr>
        <w:pStyle w:val="ListParagraph"/>
        <w:numPr>
          <w:ilvl w:val="0"/>
          <w:numId w:val="2"/>
        </w:numPr>
        <w:spacing w:after="60" w:line="276"/>
      </w:pPr>
      <w:r>
        <w:rPr>
          <w:rFonts w:ascii="Arial" w:cs="Arial" w:eastAsia="Arial" w:hAnsi="Arial"/>
          <w:sz w:val="22"/>
          <w:szCs w:val="22"/>
        </w:rPr>
        <w:t xml:space="preserve">Section 3 describes each on-chain component. Typed signatures are in section 7.</w:t>
      </w:r>
    </w:p>
    <w:p>
      <w:pPr>
        <w:pStyle w:val="ListParagraph"/>
        <w:numPr>
          <w:ilvl w:val="0"/>
          <w:numId w:val="2"/>
        </w:numPr>
        <w:spacing w:after="60" w:line="276"/>
      </w:pPr>
      <w:r>
        <w:rPr>
          <w:rFonts w:ascii="Arial" w:cs="Arial" w:eastAsia="Arial" w:hAnsi="Arial"/>
          <w:sz w:val="22"/>
          <w:szCs w:val="22"/>
        </w:rPr>
        <w:t xml:space="preserve">Section 4 is the operating model: LP-won, facility-won, FIFO withdraw, and the ranker.</w:t>
      </w:r>
    </w:p>
    <w:p>
      <w:pPr>
        <w:pStyle w:val="ListParagraph"/>
        <w:numPr>
          <w:ilvl w:val="0"/>
          <w:numId w:val="2"/>
        </w:numPr>
        <w:spacing w:after="60" w:line="276"/>
      </w:pPr>
      <w:r>
        <w:rPr>
          <w:rFonts w:ascii="Arial" w:cs="Arial" w:eastAsia="Arial" w:hAnsi="Arial"/>
          <w:sz w:val="22"/>
          <w:szCs w:val="22"/>
        </w:rPr>
        <w:t xml:space="preserve">Sections 5–6 cover the stack and pinned integrations.</w:t>
      </w:r>
    </w:p>
    <w:p>
      <w:pPr>
        <w:pStyle w:val="ListParagraph"/>
        <w:numPr>
          <w:ilvl w:val="0"/>
          <w:numId w:val="2"/>
        </w:numPr>
        <w:spacing w:after="60" w:line="276"/>
      </w:pPr>
      <w:r>
        <w:rPr>
          <w:rFonts w:ascii="Arial" w:cs="Arial" w:eastAsia="Arial" w:hAnsi="Arial"/>
          <w:sz w:val="22"/>
          <w:szCs w:val="22"/>
        </w:rPr>
        <w:t xml:space="preserve">Sections 8–11 cover storage, math, events, and keepers.</w:t>
      </w:r>
    </w:p>
    <w:p>
      <w:pPr>
        <w:pStyle w:val="ListParagraph"/>
        <w:numPr>
          <w:ilvl w:val="0"/>
          <w:numId w:val="2"/>
        </w:numPr>
        <w:spacing w:after="60" w:line="276"/>
      </w:pPr>
      <w:r>
        <w:rPr>
          <w:rFonts w:ascii="Arial" w:cs="Arial" w:eastAsia="Arial" w:hAnsi="Arial"/>
          <w:sz w:val="22"/>
          <w:szCs w:val="22"/>
        </w:rPr>
        <w:t xml:space="preserve">Section 12 is the STRIDE model. Section 13 restates what v1 ships and what it does not.</w:t>
      </w:r>
    </w:p>
    <w:p>
      <w:pPr>
        <w:spacing w:after="160" w:before="0" w:line="276"/>
      </w:pPr>
      <w:r>
        <w:rPr>
          <w:rFonts w:ascii="Arial" w:cs="Arial" w:eastAsia="Arial" w:hAnsi="Arial"/>
          <w:sz w:val="22"/>
          <w:szCs w:val="22"/>
        </w:rPr>
        <w:t xml:space="preserve">v1 is a credit desk. It is not a neobroker, not a stock-index product, and not a spot swap page. Aerodrome is a read-only max-seize floor, not a dump venue. Confidential compute is out of scope.</w:t>
      </w:r>
    </w:p>
    <w:p>
      <w:pPr>
        <w:pStyle w:val="Heading2"/>
        <w:spacing w:after="120" w:before="260"/>
      </w:pPr>
      <w:bookmarkStart w:name="toc" w:id="4"/>
      <w:r>
        <w:rPr>
          <w:rFonts w:ascii="Arial" w:cs="Arial" w:eastAsia="Arial" w:hAnsi="Arial"/>
          <w:b/>
          <w:bCs/>
          <w:color w:val="1F4E79"/>
          <w:sz w:val="26"/>
          <w:szCs w:val="26"/>
        </w:rPr>
        <w:t xml:space="preserve">Contents</w:t>
      </w:r>
      <w:bookmarkEnd w:id="4"/>
    </w:p>
    <w:p>
      <w:pPr>
        <w:spacing w:after="40" w:line="276"/>
        <w:ind w:left="0"/>
      </w:pPr>
      <w:hyperlink w:history="1" w:anchor="sec-1">
        <w:r>
          <w:rPr>
            <w:rStyle w:val="Hyperlink"/>
            <w:rFonts w:ascii="Arial" w:cs="Arial" w:eastAsia="Arial" w:hAnsi="Arial"/>
            <w:color w:val="1F4E79"/>
            <w:sz w:val="22"/>
            <w:szCs w:val="22"/>
          </w:rPr>
          <w:t xml:space="preserve">1. Introduction</w:t>
        </w:r>
      </w:hyperlink>
    </w:p>
    <w:p>
      <w:pPr>
        <w:spacing w:after="40" w:line="276"/>
        <w:ind w:left="360"/>
      </w:pPr>
      <w:hyperlink w:history="1" w:anchor="sec-1-1">
        <w:r>
          <w:rPr>
            <w:rStyle w:val="Hyperlink"/>
            <w:rFonts w:ascii="Arial" w:cs="Arial" w:eastAsia="Arial" w:hAnsi="Arial"/>
            <w:color w:val="1F4E79"/>
            <w:sz w:val="22"/>
            <w:szCs w:val="22"/>
          </w:rPr>
          <w:t xml:space="preserve">1.1 High-level overview</w:t>
        </w:r>
      </w:hyperlink>
    </w:p>
    <w:p>
      <w:pPr>
        <w:spacing w:after="40" w:line="276"/>
        <w:ind w:left="360"/>
      </w:pPr>
      <w:hyperlink w:history="1" w:anchor="sec-1-2">
        <w:r>
          <w:rPr>
            <w:rStyle w:val="Hyperlink"/>
            <w:rFonts w:ascii="Arial" w:cs="Arial" w:eastAsia="Arial" w:hAnsi="Arial"/>
            <w:color w:val="1F4E79"/>
            <w:sz w:val="22"/>
            <w:szCs w:val="22"/>
          </w:rPr>
          <w:t xml:space="preserve">1.2 Key terms</w:t>
        </w:r>
      </w:hyperlink>
    </w:p>
    <w:p>
      <w:pPr>
        <w:spacing w:after="40" w:line="276"/>
        <w:ind w:left="360"/>
      </w:pPr>
      <w:hyperlink w:history="1" w:anchor="sec-1-3">
        <w:r>
          <w:rPr>
            <w:rStyle w:val="Hyperlink"/>
            <w:rFonts w:ascii="Arial" w:cs="Arial" w:eastAsia="Arial" w:hAnsi="Arial"/>
            <w:color w:val="1F4E79"/>
            <w:sz w:val="22"/>
            <w:szCs w:val="22"/>
          </w:rPr>
          <w:t xml:space="preserve">1.3 User roles</w:t>
        </w:r>
      </w:hyperlink>
    </w:p>
    <w:p>
      <w:pPr>
        <w:spacing w:after="40" w:line="276"/>
        <w:ind w:left="0"/>
      </w:pPr>
      <w:hyperlink w:history="1" w:anchor="sec-2">
        <w:r>
          <w:rPr>
            <w:rStyle w:val="Hyperlink"/>
            <w:rFonts w:ascii="Arial" w:cs="Arial" w:eastAsia="Arial" w:hAnsi="Arial"/>
            <w:color w:val="1F4E79"/>
            <w:sz w:val="22"/>
            <w:szCs w:val="22"/>
          </w:rPr>
          <w:t xml:space="preserve">2. Architecture overview</w:t>
        </w:r>
      </w:hyperlink>
    </w:p>
    <w:p>
      <w:pPr>
        <w:spacing w:after="40" w:line="276"/>
        <w:ind w:left="360"/>
      </w:pPr>
      <w:hyperlink w:history="1" w:anchor="sec-2-1">
        <w:r>
          <w:rPr>
            <w:rStyle w:val="Hyperlink"/>
            <w:rFonts w:ascii="Arial" w:cs="Arial" w:eastAsia="Arial" w:hAnsi="Arial"/>
            <w:color w:val="1F4E79"/>
            <w:sz w:val="22"/>
            <w:szCs w:val="22"/>
          </w:rPr>
          <w:t xml:space="preserve">2.1 The protocol at a glance</w:t>
        </w:r>
      </w:hyperlink>
    </w:p>
    <w:p>
      <w:pPr>
        <w:spacing w:after="40" w:line="276"/>
        <w:ind w:left="360"/>
      </w:pPr>
      <w:hyperlink w:history="1" w:anchor="sec-2-2">
        <w:r>
          <w:rPr>
            <w:rStyle w:val="Hyperlink"/>
            <w:rFonts w:ascii="Arial" w:cs="Arial" w:eastAsia="Arial" w:hAnsi="Arial"/>
            <w:color w:val="1F4E79"/>
            <w:sz w:val="22"/>
            <w:szCs w:val="22"/>
          </w:rPr>
          <w:t xml:space="preserve">2.2 System overview</w:t>
        </w:r>
      </w:hyperlink>
    </w:p>
    <w:p>
      <w:pPr>
        <w:spacing w:after="40" w:line="276"/>
        <w:ind w:left="360"/>
      </w:pPr>
      <w:hyperlink w:history="1" w:anchor="sec-2-3">
        <w:r>
          <w:rPr>
            <w:rStyle w:val="Hyperlink"/>
            <w:rFonts w:ascii="Arial" w:cs="Arial" w:eastAsia="Arial" w:hAnsi="Arial"/>
            <w:color w:val="1F4E79"/>
            <w:sz w:val="22"/>
            <w:szCs w:val="22"/>
          </w:rPr>
          <w:t xml:space="preserve">2.3 Detailed components</w:t>
        </w:r>
      </w:hyperlink>
    </w:p>
    <w:p>
      <w:pPr>
        <w:spacing w:after="40" w:line="276"/>
        <w:ind w:left="360"/>
      </w:pPr>
      <w:hyperlink w:history="1" w:anchor="sec-2-4">
        <w:r>
          <w:rPr>
            <w:rStyle w:val="Hyperlink"/>
            <w:rFonts w:ascii="Arial" w:cs="Arial" w:eastAsia="Arial" w:hAnsi="Arial"/>
            <w:color w:val="1F4E79"/>
            <w:sz w:val="22"/>
            <w:szCs w:val="22"/>
          </w:rPr>
          <w:t xml:space="preserve">2.4 Architecture constraints</w:t>
        </w:r>
      </w:hyperlink>
    </w:p>
    <w:p>
      <w:pPr>
        <w:spacing w:after="40" w:line="276"/>
        <w:ind w:left="360"/>
      </w:pPr>
      <w:hyperlink w:history="1" w:anchor="sec-2-5">
        <w:r>
          <w:rPr>
            <w:rStyle w:val="Hyperlink"/>
            <w:rFonts w:ascii="Arial" w:cs="Arial" w:eastAsia="Arial" w:hAnsi="Arial"/>
            <w:color w:val="1F4E79"/>
            <w:sz w:val="22"/>
            <w:szCs w:val="22"/>
          </w:rPr>
          <w:t xml:space="preserve">2.5 Functional scope</w:t>
        </w:r>
      </w:hyperlink>
    </w:p>
    <w:p>
      <w:pPr>
        <w:spacing w:after="40" w:line="276"/>
        <w:ind w:left="0"/>
      </w:pPr>
      <w:hyperlink w:history="1" w:anchor="sec-3">
        <w:r>
          <w:rPr>
            <w:rStyle w:val="Hyperlink"/>
            <w:rFonts w:ascii="Arial" w:cs="Arial" w:eastAsia="Arial" w:hAnsi="Arial"/>
            <w:color w:val="1F4E79"/>
            <w:sz w:val="22"/>
            <w:szCs w:val="22"/>
          </w:rPr>
          <w:t xml:space="preserve">3. Smart contracts</w:t>
        </w:r>
      </w:hyperlink>
    </w:p>
    <w:p>
      <w:pPr>
        <w:spacing w:after="40" w:line="276"/>
        <w:ind w:left="0"/>
      </w:pPr>
      <w:hyperlink w:history="1" w:anchor="sec-4">
        <w:r>
          <w:rPr>
            <w:rStyle w:val="Hyperlink"/>
            <w:rFonts w:ascii="Arial" w:cs="Arial" w:eastAsia="Arial" w:hAnsi="Arial"/>
            <w:color w:val="1F4E79"/>
            <w:sz w:val="22"/>
            <w:szCs w:val="22"/>
          </w:rPr>
          <w:t xml:space="preserve">4. Protocol flows</w:t>
        </w:r>
      </w:hyperlink>
    </w:p>
    <w:p>
      <w:pPr>
        <w:spacing w:after="40" w:line="276"/>
        <w:ind w:left="0"/>
      </w:pPr>
      <w:hyperlink w:history="1" w:anchor="sec-5">
        <w:r>
          <w:rPr>
            <w:rStyle w:val="Hyperlink"/>
            <w:rFonts w:ascii="Arial" w:cs="Arial" w:eastAsia="Arial" w:hAnsi="Arial"/>
            <w:color w:val="1F4E79"/>
            <w:sz w:val="22"/>
            <w:szCs w:val="22"/>
          </w:rPr>
          <w:t xml:space="preserve">5. Technology stack</w:t>
        </w:r>
      </w:hyperlink>
    </w:p>
    <w:p>
      <w:pPr>
        <w:spacing w:after="40" w:line="276"/>
        <w:ind w:left="0"/>
      </w:pPr>
      <w:hyperlink w:history="1" w:anchor="sec-6">
        <w:r>
          <w:rPr>
            <w:rStyle w:val="Hyperlink"/>
            <w:rFonts w:ascii="Arial" w:cs="Arial" w:eastAsia="Arial" w:hAnsi="Arial"/>
            <w:color w:val="1F4E79"/>
            <w:sz w:val="22"/>
            <w:szCs w:val="22"/>
          </w:rPr>
          <w:t xml:space="preserve">6. Integrations</w:t>
        </w:r>
      </w:hyperlink>
    </w:p>
    <w:p>
      <w:pPr>
        <w:spacing w:after="40" w:line="276"/>
        <w:ind w:left="0"/>
      </w:pPr>
      <w:hyperlink w:history="1" w:anchor="sec-7">
        <w:r>
          <w:rPr>
            <w:rStyle w:val="Hyperlink"/>
            <w:rFonts w:ascii="Arial" w:cs="Arial" w:eastAsia="Arial" w:hAnsi="Arial"/>
            <w:color w:val="1F4E79"/>
            <w:sz w:val="22"/>
            <w:szCs w:val="22"/>
          </w:rPr>
          <w:t xml:space="preserve">7. Typed Solidity function signatures</w:t>
        </w:r>
      </w:hyperlink>
    </w:p>
    <w:p>
      <w:pPr>
        <w:spacing w:after="40" w:line="276"/>
        <w:ind w:left="0"/>
      </w:pPr>
      <w:hyperlink w:history="1" w:anchor="sec-8">
        <w:r>
          <w:rPr>
            <w:rStyle w:val="Hyperlink"/>
            <w:rFonts w:ascii="Arial" w:cs="Arial" w:eastAsia="Arial" w:hAnsi="Arial"/>
            <w:color w:val="1F4E79"/>
            <w:sz w:val="22"/>
            <w:szCs w:val="22"/>
          </w:rPr>
          <w:t xml:space="preserve">8. Storage layout</w:t>
        </w:r>
      </w:hyperlink>
    </w:p>
    <w:p>
      <w:pPr>
        <w:spacing w:after="40" w:line="276"/>
        <w:ind w:left="0"/>
      </w:pPr>
      <w:hyperlink w:history="1" w:anchor="sec-9">
        <w:r>
          <w:rPr>
            <w:rStyle w:val="Hyperlink"/>
            <w:rFonts w:ascii="Arial" w:cs="Arial" w:eastAsia="Arial" w:hAnsi="Arial"/>
            <w:color w:val="1F4E79"/>
            <w:sz w:val="22"/>
            <w:szCs w:val="22"/>
          </w:rPr>
          <w:t xml:space="preserve">9. Settlement math</w:t>
        </w:r>
      </w:hyperlink>
    </w:p>
    <w:p>
      <w:pPr>
        <w:spacing w:after="40" w:line="276"/>
        <w:ind w:left="0"/>
      </w:pPr>
      <w:hyperlink w:history="1" w:anchor="sec-10">
        <w:r>
          <w:rPr>
            <w:rStyle w:val="Hyperlink"/>
            <w:rFonts w:ascii="Arial" w:cs="Arial" w:eastAsia="Arial" w:hAnsi="Arial"/>
            <w:color w:val="1F4E79"/>
            <w:sz w:val="22"/>
            <w:szCs w:val="22"/>
          </w:rPr>
          <w:t xml:space="preserve">10. Events</w:t>
        </w:r>
      </w:hyperlink>
    </w:p>
    <w:p>
      <w:pPr>
        <w:spacing w:after="40" w:line="276"/>
        <w:ind w:left="0"/>
      </w:pPr>
      <w:hyperlink w:history="1" w:anchor="sec-11">
        <w:r>
          <w:rPr>
            <w:rStyle w:val="Hyperlink"/>
            <w:rFonts w:ascii="Arial" w:cs="Arial" w:eastAsia="Arial" w:hAnsi="Arial"/>
            <w:color w:val="1F4E79"/>
            <w:sz w:val="22"/>
            <w:szCs w:val="22"/>
          </w:rPr>
          <w:t xml:space="preserve">11. Keepers</w:t>
        </w:r>
      </w:hyperlink>
    </w:p>
    <w:p>
      <w:pPr>
        <w:spacing w:after="40" w:line="276"/>
        <w:ind w:left="0"/>
      </w:pPr>
      <w:hyperlink w:history="1" w:anchor="sec-12">
        <w:r>
          <w:rPr>
            <w:rStyle w:val="Hyperlink"/>
            <w:rFonts w:ascii="Arial" w:cs="Arial" w:eastAsia="Arial" w:hAnsi="Arial"/>
            <w:color w:val="1F4E79"/>
            <w:sz w:val="22"/>
            <w:szCs w:val="22"/>
          </w:rPr>
          <w:t xml:space="preserve">12. STRIDE threat model</w:t>
        </w:r>
      </w:hyperlink>
    </w:p>
    <w:p>
      <w:pPr>
        <w:spacing w:after="40" w:line="276"/>
        <w:ind w:left="0"/>
      </w:pPr>
      <w:hyperlink w:history="1" w:anchor="sec-13">
        <w:r>
          <w:rPr>
            <w:rStyle w:val="Hyperlink"/>
            <w:rFonts w:ascii="Arial" w:cs="Arial" w:eastAsia="Arial" w:hAnsi="Arial"/>
            <w:color w:val="1F4E79"/>
            <w:sz w:val="22"/>
            <w:szCs w:val="22"/>
          </w:rPr>
          <w:t xml:space="preserve">13. Component summary</w:t>
        </w:r>
      </w:hyperlink>
    </w:p>
    <w:p>
      <w:pPr>
        <w:spacing w:after="40" w:line="276"/>
        <w:ind w:left="0"/>
      </w:pPr>
      <w:hyperlink w:history="1" w:anchor="app-a">
        <w:r>
          <w:rPr>
            <w:rStyle w:val="Hyperlink"/>
            <w:rFonts w:ascii="Arial" w:cs="Arial" w:eastAsia="Arial" w:hAnsi="Arial"/>
            <w:color w:val="1F4E79"/>
            <w:sz w:val="22"/>
            <w:szCs w:val="22"/>
          </w:rPr>
          <w:t xml:space="preserve">Appendix A. Locked design decisions</w:t>
        </w:r>
      </w:hyperlink>
    </w:p>
    <w:p>
      <w:pPr>
        <w:spacing w:after="40" w:line="276"/>
        <w:ind w:left="0"/>
      </w:pPr>
      <w:hyperlink w:history="1" w:anchor="app-b">
        <w:r>
          <w:rPr>
            <w:rStyle w:val="Hyperlink"/>
            <w:rFonts w:ascii="Arial" w:cs="Arial" w:eastAsia="Arial" w:hAnsi="Arial"/>
            <w:color w:val="1F4E79"/>
            <w:sz w:val="22"/>
            <w:szCs w:val="22"/>
          </w:rPr>
          <w:t xml:space="preserve">Appendix B. Open implementation pins</w:t>
        </w:r>
      </w:hyperlink>
    </w:p>
    <w:p>
      <w:pPr>
        <w:spacing w:after="40" w:line="276"/>
        <w:ind w:left="0"/>
      </w:pPr>
      <w:hyperlink w:history="1" w:anchor="app-c">
        <w:r>
          <w:rPr>
            <w:rStyle w:val="Hyperlink"/>
            <w:rFonts w:ascii="Arial" w:cs="Arial" w:eastAsia="Arial" w:hAnsi="Arial"/>
            <w:color w:val="1F4E79"/>
            <w:sz w:val="22"/>
            <w:szCs w:val="22"/>
          </w:rPr>
          <w:t xml:space="preserve">Appendix C. List of figures</w:t>
        </w:r>
      </w:hyperlink>
    </w:p>
    <w:p>
      <w:pPr>
        <w:pStyle w:val="Heading2"/>
        <w:spacing w:after="120" w:before="260"/>
      </w:pPr>
      <w:bookmarkStart w:name="lof-short" w:id="5"/>
      <w:r>
        <w:rPr>
          <w:rFonts w:ascii="Arial" w:cs="Arial" w:eastAsia="Arial" w:hAnsi="Arial"/>
          <w:b/>
          <w:bCs/>
          <w:color w:val="1F4E79"/>
          <w:sz w:val="26"/>
          <w:szCs w:val="26"/>
        </w:rPr>
        <w:t xml:space="preserve">Figures in this document</w:t>
      </w:r>
      <w:bookmarkEnd w:id="5"/>
    </w:p>
    <w:p>
      <w:pPr>
        <w:spacing w:after="40" w:line="276"/>
        <w:ind w:left="0"/>
      </w:pPr>
      <w:hyperlink w:history="1" w:anchor="fig-1">
        <w:r>
          <w:rPr>
            <w:rStyle w:val="Hyperlink"/>
            <w:rFonts w:ascii="Arial" w:cs="Arial" w:eastAsia="Arial" w:hAnsi="Arial"/>
            <w:color w:val="1F4E79"/>
            <w:sz w:val="22"/>
            <w:szCs w:val="22"/>
          </w:rPr>
          <w:t xml:space="preserve">Figure 1. System overview</w:t>
        </w:r>
      </w:hyperlink>
    </w:p>
    <w:p>
      <w:pPr>
        <w:spacing w:after="40" w:line="276"/>
        <w:ind w:left="0"/>
      </w:pPr>
      <w:hyperlink w:history="1" w:anchor="fig-2">
        <w:r>
          <w:rPr>
            <w:rStyle w:val="Hyperlink"/>
            <w:rFonts w:ascii="Arial" w:cs="Arial" w:eastAsia="Arial" w:hAnsi="Arial"/>
            <w:color w:val="1F4E79"/>
            <w:sz w:val="22"/>
            <w:szCs w:val="22"/>
          </w:rPr>
          <w:t xml:space="preserve">Figure 2. Detailed components</w:t>
        </w:r>
      </w:hyperlink>
    </w:p>
    <w:p>
      <w:pPr>
        <w:spacing w:after="40" w:line="276"/>
        <w:ind w:left="0"/>
      </w:pPr>
      <w:hyperlink w:history="1" w:anchor="fig-3">
        <w:r>
          <w:rPr>
            <w:rStyle w:val="Hyperlink"/>
            <w:rFonts w:ascii="Arial" w:cs="Arial" w:eastAsia="Arial" w:hAnsi="Arial"/>
            <w:color w:val="1F4E79"/>
            <w:sz w:val="22"/>
            <w:szCs w:val="22"/>
          </w:rPr>
          <w:t xml:space="preserve">Figure 3. LP-won liquidation sequence</w:t>
        </w:r>
      </w:hyperlink>
    </w:p>
    <w:p>
      <w:pPr>
        <w:spacing w:after="40" w:line="276"/>
        <w:ind w:left="0"/>
      </w:pPr>
      <w:hyperlink w:history="1" w:anchor="fig-4">
        <w:r>
          <w:rPr>
            <w:rStyle w:val="Hyperlink"/>
            <w:rFonts w:ascii="Arial" w:cs="Arial" w:eastAsia="Arial" w:hAnsi="Arial"/>
            <w:color w:val="1F4E79"/>
            <w:sz w:val="22"/>
            <w:szCs w:val="22"/>
          </w:rPr>
          <w:t xml:space="preserve">Figure 4. Facility-won liquidation sequence</w:t>
        </w:r>
      </w:hyperlink>
    </w:p>
    <w:p>
      <w:pPr>
        <w:spacing w:after="40" w:line="276"/>
        <w:ind w:left="0"/>
      </w:pPr>
      <w:hyperlink w:history="1" w:anchor="fig-5">
        <w:r>
          <w:rPr>
            <w:rStyle w:val="Hyperlink"/>
            <w:rFonts w:ascii="Arial" w:cs="Arial" w:eastAsia="Arial" w:hAnsi="Arial"/>
            <w:color w:val="1F4E79"/>
            <w:sz w:val="22"/>
            <w:szCs w:val="22"/>
          </w:rPr>
          <w:t xml:space="preserve">Figure 5. Facility deposit, withdraw, and FIFO queue</w:t>
        </w:r>
      </w:hyperlink>
    </w:p>
    <w:p>
      <w:pPr>
        <w:spacing w:after="40" w:line="276"/>
        <w:ind w:left="0"/>
      </w:pPr>
      <w:hyperlink w:history="1" w:anchor="fig-6">
        <w:r>
          <w:rPr>
            <w:rStyle w:val="Hyperlink"/>
            <w:rFonts w:ascii="Arial" w:cs="Arial" w:eastAsia="Arial" w:hAnsi="Arial"/>
            <w:color w:val="1F4E79"/>
            <w:sz w:val="22"/>
            <w:szCs w:val="22"/>
          </w:rPr>
          <w:t xml:space="preserve">Figure 6. Deployment topology</w:t>
        </w:r>
      </w:hyperlink>
    </w:p>
    <w:p>
      <w:pPr>
        <w:spacing w:after="40" w:line="276"/>
        <w:ind w:left="0"/>
      </w:pPr>
      <w:hyperlink w:history="1" w:anchor="fig-7">
        <w:r>
          <w:rPr>
            <w:rStyle w:val="Hyperlink"/>
            <w:rFonts w:ascii="Arial" w:cs="Arial" w:eastAsia="Arial" w:hAnsi="Arial"/>
            <w:color w:val="1F4E79"/>
            <w:sz w:val="22"/>
            <w:szCs w:val="22"/>
          </w:rPr>
          <w:t xml:space="preserve">Figure 7. Contract interfaces and structs</w:t>
        </w:r>
      </w:hyperlink>
    </w:p>
    <w:p>
      <w:pPr>
        <w:pStyle w:val="Heading1"/>
        <w:pBdr>
          <w:bottom w:val="single" w:color="1F4E79" w:sz="8" w:space="4"/>
        </w:pBdr>
        <w:spacing w:after="160" w:before="320"/>
      </w:pPr>
      <w:bookmarkStart w:name="sec-1" w:id="6"/>
      <w:r>
        <w:rPr>
          <w:rFonts w:ascii="Arial" w:cs="Arial" w:eastAsia="Arial" w:hAnsi="Arial"/>
          <w:b/>
          <w:bCs/>
          <w:color w:val="1F4E79"/>
          <w:sz w:val="32"/>
          <w:szCs w:val="32"/>
        </w:rPr>
        <w:t xml:space="preserve">1. Introduction</w:t>
      </w:r>
      <w:bookmarkEnd w:id="6"/>
    </w:p>
    <w:p>
      <w:pPr>
        <w:pStyle w:val="Heading2"/>
        <w:spacing w:after="120" w:before="260"/>
      </w:pPr>
      <w:bookmarkStart w:name="sec-1-1" w:id="7"/>
      <w:r>
        <w:rPr>
          <w:rFonts w:ascii="Arial" w:cs="Arial" w:eastAsia="Arial" w:hAnsi="Arial"/>
          <w:b/>
          <w:bCs/>
          <w:color w:val="1F4E79"/>
          <w:sz w:val="26"/>
          <w:szCs w:val="26"/>
        </w:rPr>
        <w:t xml:space="preserve">1.1 High-level overview</w:t>
      </w:r>
      <w:bookmarkEnd w:id="7"/>
    </w:p>
    <w:p>
      <w:pPr>
        <w:spacing w:after="160" w:before="0" w:line="276"/>
      </w:pPr>
      <w:r>
        <w:rPr>
          <w:rFonts w:ascii="Arial" w:cs="Arial" w:eastAsia="Arial" w:hAnsi="Arial"/>
          <w:sz w:val="22"/>
          <w:szCs w:val="22"/>
        </w:rPr>
        <w:t xml:space="preserve">Coinbase tokenized stocks trade on Base as B20 tokens with 1:1 Alpaca/ADGM custody. Eligible non-US wallets can hold and transfer them on the secondary market, subject to token policy. Lending markets that accept this collateral still need an atomic repay-and-seize path. DEX pools are thin relative to issuer, authorized-participant, and liquidation size. Dumping a full liquidation through an AMM leaks inventory and can gap the book.</w:t>
      </w:r>
    </w:p>
    <w:p>
      <w:pPr>
        <w:spacing w:after="160" w:before="0" w:line="276"/>
      </w:pPr>
      <w:r>
        <w:rPr>
          <w:rFonts w:ascii="Arial" w:cs="Arial" w:eastAsia="Arial" w:hAnsi="Arial"/>
          <w:sz w:val="22"/>
          <w:szCs w:val="22"/>
        </w:rPr>
        <w:t xml:space="preserve">Katon gives depositors a native Circle USDC facility that earns yield in approved Base lending venues, and gives keepers and LPs a public RFQ that funds unhealthy B20-collateral loans in one transaction.</w:t>
      </w:r>
    </w:p>
    <w:p>
      <w:pPr>
        <w:spacing w:after="160" w:before="0" w:line="276"/>
      </w:pPr>
      <w:r>
        <w:rPr>
          <w:rFonts w:ascii="Arial" w:cs="Arial" w:eastAsia="Arial" w:hAnsi="Arial"/>
          <w:sz w:val="22"/>
          <w:szCs w:val="22"/>
        </w:rPr>
        <w:t xml:space="preserve">The protocol comprises:</w:t>
      </w:r>
    </w:p>
    <w:p>
      <w:pPr>
        <w:pStyle w:val="ListParagraph"/>
        <w:numPr>
          <w:ilvl w:val="0"/>
          <w:numId w:val="3"/>
        </w:numPr>
        <w:spacing w:after="80" w:line="276"/>
      </w:pPr>
      <w:r>
        <w:rPr>
          <w:rFonts w:ascii="Arial" w:cs="Arial" w:eastAsia="Arial" w:hAnsi="Arial"/>
          <w:sz w:val="22"/>
          <w:szCs w:val="22"/>
        </w:rPr>
        <w:t xml:space="preserve">A </w:t>
      </w:r>
      <w:r>
        <w:rPr>
          <w:rFonts w:ascii="Arial" w:cs="Arial" w:eastAsia="Arial" w:hAnsi="Arial"/>
          <w:b/>
          <w:bCs/>
          <w:sz w:val="22"/>
          <w:szCs w:val="22"/>
        </w:rPr>
        <w:t xml:space="preserve">settlement contract</w:t>
      </w:r>
      <w:r>
        <w:rPr>
          <w:rFonts w:ascii="Arial" w:cs="Arial" w:eastAsia="Arial" w:hAnsi="Arial"/>
          <w:sz w:val="22"/>
          <w:szCs w:val="22"/>
        </w:rPr>
        <w:t xml:space="preserve"> — verifies EIP-712 LP orders and pulls USDC after the maker approves. Custody stays in the wallet.</w:t>
      </w:r>
    </w:p>
    <w:p>
      <w:pPr>
        <w:pStyle w:val="ListParagraph"/>
        <w:numPr>
          <w:ilvl w:val="0"/>
          <w:numId w:val="3"/>
        </w:numPr>
        <w:spacing w:after="80" w:line="276"/>
      </w:pPr>
      <w:r>
        <w:rPr>
          <w:rFonts w:ascii="Arial" w:cs="Arial" w:eastAsia="Arial" w:hAnsi="Arial"/>
          <w:sz w:val="22"/>
          <w:szCs w:val="22"/>
        </w:rPr>
        <w:t xml:space="preserve">A </w:t>
      </w:r>
      <w:r>
        <w:rPr>
          <w:rFonts w:ascii="Arial" w:cs="Arial" w:eastAsia="Arial" w:hAnsi="Arial"/>
          <w:b/>
          <w:bCs/>
          <w:sz w:val="22"/>
          <w:szCs w:val="22"/>
        </w:rPr>
        <w:t xml:space="preserve">keyless backend</w:t>
      </w:r>
      <w:r>
        <w:rPr>
          <w:rFonts w:ascii="Arial" w:cs="Arial" w:eastAsia="Arial" w:hAnsi="Arial"/>
          <w:sz w:val="22"/>
          <w:szCs w:val="22"/>
        </w:rPr>
        <w:t xml:space="preserve"> — coordinates the public RFQ, accepts TLS bids, ranks sources, and returns unsigned calldata. It holds no keys and no inventory.</w:t>
      </w:r>
    </w:p>
    <w:p>
      <w:pPr>
        <w:pStyle w:val="ListParagraph"/>
        <w:numPr>
          <w:ilvl w:val="0"/>
          <w:numId w:val="3"/>
        </w:numPr>
        <w:spacing w:after="80" w:line="276"/>
      </w:pPr>
      <w:r>
        <w:rPr>
          <w:rFonts w:ascii="Arial" w:cs="Arial" w:eastAsia="Arial" w:hAnsi="Arial"/>
          <w:sz w:val="22"/>
          <w:szCs w:val="22"/>
        </w:rPr>
        <w:t xml:space="preserve">A </w:t>
      </w:r>
      <w:r>
        <w:rPr>
          <w:rFonts w:ascii="Arial" w:cs="Arial" w:eastAsia="Arial" w:hAnsi="Arial"/>
          <w:b/>
          <w:bCs/>
          <w:sz w:val="22"/>
          <w:szCs w:val="22"/>
        </w:rPr>
        <w:t xml:space="preserve">liquidity facility</w:t>
      </w:r>
      <w:r>
        <w:rPr>
          <w:rFonts w:ascii="Arial" w:cs="Arial" w:eastAsia="Arial" w:hAnsi="Arial"/>
          <w:sz w:val="22"/>
          <w:szCs w:val="22"/>
        </w:rPr>
        <w:t xml:space="preserve"> — ERC-4626 vault. Depositors park USDC. Curators allocate into Aave, Morpho, and Euler. On a facility-won RFQ the vault funds repayment and books B20 inventory at acquisition cost.</w:t>
      </w:r>
    </w:p>
    <w:p>
      <w:pPr>
        <w:pStyle w:val="ListParagraph"/>
        <w:numPr>
          <w:ilvl w:val="0"/>
          <w:numId w:val="3"/>
        </w:numPr>
        <w:spacing w:after="80" w:line="276"/>
      </w:pPr>
      <w:r>
        <w:rPr>
          <w:rFonts w:ascii="Arial" w:cs="Arial" w:eastAsia="Arial" w:hAnsi="Arial"/>
          <w:b/>
          <w:bCs/>
          <w:sz w:val="22"/>
          <w:szCs w:val="22"/>
        </w:rPr>
        <w:t xml:space="preserve">Adapter contracts</w:t>
      </w:r>
      <w:r>
        <w:rPr>
          <w:rFonts w:ascii="Arial" w:cs="Arial" w:eastAsia="Arial" w:hAnsi="Arial"/>
          <w:sz w:val="22"/>
          <w:szCs w:val="22"/>
        </w:rPr>
        <w:t xml:space="preserve"> — one yield adapter and one liquidation adapter per venue. Fixed interfaces. No user-supplied calldata.</w:t>
      </w:r>
    </w:p>
    <w:p>
      <w:pPr>
        <w:pStyle w:val="ListParagraph"/>
        <w:numPr>
          <w:ilvl w:val="0"/>
          <w:numId w:val="3"/>
        </w:numPr>
        <w:spacing w:after="80" w:line="276"/>
      </w:pPr>
      <w:r>
        <w:rPr>
          <w:rFonts w:ascii="Arial" w:cs="Arial" w:eastAsia="Arial" w:hAnsi="Arial"/>
          <w:sz w:val="22"/>
          <w:szCs w:val="22"/>
        </w:rPr>
        <w:t xml:space="preserve">An </w:t>
      </w:r>
      <w:r>
        <w:rPr>
          <w:rFonts w:ascii="Arial" w:cs="Arial" w:eastAsia="Arial" w:hAnsi="Arial"/>
          <w:b/>
          <w:bCs/>
          <w:sz w:val="22"/>
          <w:szCs w:val="22"/>
        </w:rPr>
        <w:t xml:space="preserve">RFQ router</w:t>
      </w:r>
      <w:r>
        <w:rPr>
          <w:rFonts w:ascii="Arial" w:cs="Arial" w:eastAsia="Arial" w:hAnsi="Arial"/>
          <w:sz w:val="22"/>
          <w:szCs w:val="22"/>
        </w:rPr>
        <w:t xml:space="preserve"> — executeLiquidationRoute binds one funding source to one allowlisted adapter and settles atomically. executeSwapRoute is reserved and unexposed in v1.</w:t>
      </w:r>
    </w:p>
    <w:p>
      <w:pPr>
        <w:pStyle w:val="ListParagraph"/>
        <w:numPr>
          <w:ilvl w:val="0"/>
          <w:numId w:val="3"/>
        </w:numPr>
        <w:spacing w:after="80" w:line="276"/>
      </w:pPr>
      <w:r>
        <w:rPr>
          <w:rFonts w:ascii="Arial" w:cs="Arial" w:eastAsia="Arial" w:hAnsi="Arial"/>
          <w:sz w:val="22"/>
          <w:szCs w:val="22"/>
        </w:rPr>
        <w:t xml:space="preserve">A </w:t>
      </w:r>
      <w:r>
        <w:rPr>
          <w:rFonts w:ascii="Arial" w:cs="Arial" w:eastAsia="Arial" w:hAnsi="Arial"/>
          <w:b/>
          <w:bCs/>
          <w:sz w:val="22"/>
          <w:szCs w:val="22"/>
        </w:rPr>
        <w:t xml:space="preserve">facility aggregator</w:t>
      </w:r>
      <w:r>
        <w:rPr>
          <w:rFonts w:ascii="Arial" w:cs="Arial" w:eastAsia="Arial" w:hAnsi="Arial"/>
          <w:sz w:val="22"/>
          <w:szCs w:val="22"/>
        </w:rPr>
        <w:t xml:space="preserve"> — registers facilities and exposes on-chain USDC capacity quotes.</w:t>
      </w:r>
    </w:p>
    <w:p>
      <w:pPr>
        <w:spacing w:after="160" w:before="0" w:line="276"/>
      </w:pPr>
      <w:r>
        <w:rPr>
          <w:rFonts w:ascii="Arial" w:cs="Arial" w:eastAsia="Arial" w:hAnsi="Arial"/>
          <w:sz w:val="22"/>
          <w:szCs w:val="22"/>
        </w:rPr>
        <w:t xml:space="preserve">A later milestone may add a public stock-for-USDC auction on the reserved seam. v1 does not ship that page.</w:t>
      </w:r>
    </w:p>
    <w:p>
      <w:pPr>
        <w:pStyle w:val="Heading2"/>
        <w:spacing w:after="120" w:before="260"/>
      </w:pPr>
      <w:bookmarkStart w:name="sec-1-2" w:id="8"/>
      <w:r>
        <w:rPr>
          <w:rFonts w:ascii="Arial" w:cs="Arial" w:eastAsia="Arial" w:hAnsi="Arial"/>
          <w:b/>
          <w:bCs/>
          <w:color w:val="1F4E79"/>
          <w:sz w:val="26"/>
          <w:szCs w:val="26"/>
        </w:rPr>
        <w:t xml:space="preserve">1.2 Key terms</w:t>
      </w:r>
      <w:bookmarkEnd w:id="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Term</w:t>
            </w:r>
          </w:p>
        </w:tc>
        <w:tc>
          <w:tcPr>
            <w:tcW w:type="dxa" w:w="616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Definition</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RFQ</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Request-for-quote. Public liquidation auction: pair, size, min_out, deadline.</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Funder</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Off-chain LP or liquidity facility that supplies USDC to repay a venue.</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Maker / LP</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Wallet that signs an EIP-712 funding order.</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Facility</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Curated, share-based ERC-4626 vault holding native USDC in yield adapters.</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Curator</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Facility manager: adapter allowlist, caps, haircut, pause.</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Facility executor</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Curator EOA or bound ERC-1271 that submits a facility-won route.</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Keeper</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Permissionless detector that publishes a typed unhealthy-position RFQ. Detection is not custody and not an exclusive execution right.</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Venue</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External lending market (Aave, Morpho, Euler) or the Aerodrome quote source.</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Adapter</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Thin contract with a fixed interface over one venue.</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Haircut</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Capacity discount on a facility quote: withdrawable × (WAD − haircutWad) / WAD. Not a purchase or seize price.</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NAV</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Idle USDC + adapter totalAssets + inventory at acquisition cost, minus losses and reserved queue assets.</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B20</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Coinbase tokenized-stock token on Base. Policy via isAuthorized. Share-equivalent value via scaledBalanceOf / WAD. One token is not one share.</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Funding auction</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v1 ranking mode. The venue fixes seized collateral for a given repay. LP bids and facility quotes compete to fund that repay.</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Max-seize floor</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Aerodrome implied collateral-for-repay. Predicted gross seize must be ≤ this amount. Read-only. Not a dump venue.</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Dual min_out</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RFQ public minCollateralOut and the funder's minCollateralOut. Both apply after one protocol fee.</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FOK</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Fill-or-kill. A single RFQ fill is all-or-nothing at the published repayAssets.</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Winner binding</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msg.sender must be the bound winner. Keepers never submit.</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Keyless backend</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API that never holds a funded private key and never submits settlement.</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Native USDC</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Circle USDC on the active network. Bridged USDbC is rejected.</w:t>
            </w:r>
          </w:p>
        </w:tc>
      </w:tr>
    </w:tbl>
    <w:p>
      <w:pPr>
        <w:spacing w:after="120"/>
      </w:pPr>
    </w:p>
    <w:p>
      <w:pPr>
        <w:pStyle w:val="Heading2"/>
        <w:spacing w:after="120" w:before="260"/>
      </w:pPr>
      <w:bookmarkStart w:name="sec-1-3" w:id="9"/>
      <w:r>
        <w:rPr>
          <w:rFonts w:ascii="Arial" w:cs="Arial" w:eastAsia="Arial" w:hAnsi="Arial"/>
          <w:b/>
          <w:bCs/>
          <w:color w:val="1F4E79"/>
          <w:sz w:val="26"/>
          <w:szCs w:val="26"/>
        </w:rPr>
        <w:t xml:space="preserve">1.3 User roles</w:t>
      </w:r>
      <w:bookmarkEnd w:id="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Role</w:t>
            </w:r>
          </w:p>
        </w:tc>
        <w:tc>
          <w:tcPr>
            <w:tcW w:type="dxa" w:w="616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What they do</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Facility depositor</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Deposits native USDC, holds vault shares, withdraws or queues.</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Facility curator</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Sets adapter allowlists, allocation caps, haircuts, pauses.</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Liquidity provider</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Posts standing or one-off EIP-712 bids. Signs executeLiquidationRoute on a win.</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Keeper</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Publishes typed unhealthy-position RFQs. Rate-limited, not exclusive.</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Compliance operator</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Reviews B20 policy evidence. Never holds keys or inventory.</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Protocol guardian</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Multisig / timelock for pause, venue pin, fee enablement, upgrades.</w:t>
            </w:r>
          </w:p>
        </w:tc>
      </w:tr>
    </w:tbl>
    <w:p>
      <w:pPr>
        <w:pStyle w:val="Heading1"/>
        <w:pBdr>
          <w:bottom w:val="single" w:color="1F4E79" w:sz="8" w:space="4"/>
        </w:pBdr>
        <w:spacing w:after="160" w:before="320"/>
      </w:pPr>
      <w:bookmarkStart w:name="sec-2" w:id="10"/>
      <w:r>
        <w:rPr>
          <w:rFonts w:ascii="Arial" w:cs="Arial" w:eastAsia="Arial" w:hAnsi="Arial"/>
          <w:b/>
          <w:bCs/>
          <w:color w:val="1F4E79"/>
          <w:sz w:val="32"/>
          <w:szCs w:val="32"/>
        </w:rPr>
        <w:t xml:space="preserve">2. Architecture overview</w:t>
      </w:r>
      <w:bookmarkEnd w:id="10"/>
    </w:p>
    <w:p>
      <w:pPr>
        <w:pStyle w:val="Heading2"/>
        <w:spacing w:after="120" w:before="260"/>
      </w:pPr>
      <w:bookmarkStart w:name="sec-2-1" w:id="11"/>
      <w:r>
        <w:rPr>
          <w:rFonts w:ascii="Arial" w:cs="Arial" w:eastAsia="Arial" w:hAnsi="Arial"/>
          <w:b/>
          <w:bCs/>
          <w:color w:val="1F4E79"/>
          <w:sz w:val="26"/>
          <w:szCs w:val="26"/>
        </w:rPr>
        <w:t xml:space="preserve">2.1 The protocol at a glance</w:t>
      </w:r>
      <w:bookmarkEnd w:id="11"/>
    </w:p>
    <w:p>
      <w:pPr>
        <w:spacing w:after="160" w:before="0" w:line="276"/>
      </w:pPr>
      <w:r>
        <w:rPr>
          <w:rFonts w:ascii="Arial" w:cs="Arial" w:eastAsia="Arial" w:hAnsi="Arial"/>
          <w:sz w:val="22"/>
          <w:szCs w:val="22"/>
        </w:rPr>
        <w:t xml:space="preserve">Katon runs off-chain ranking with on-chain atomic settlement. Two funding sources compete:</w:t>
      </w:r>
    </w:p>
    <w:p>
      <w:pPr>
        <w:pStyle w:val="ListParagraph"/>
        <w:numPr>
          <w:ilvl w:val="0"/>
          <w:numId w:val="4"/>
        </w:numPr>
        <w:spacing w:after="80" w:line="276"/>
      </w:pPr>
      <w:r>
        <w:rPr>
          <w:rFonts w:ascii="Arial" w:cs="Arial" w:eastAsia="Arial" w:hAnsi="Arial"/>
          <w:sz w:val="22"/>
          <w:szCs w:val="22"/>
        </w:rPr>
        <w:t xml:space="preserve">Off-chain LPs: sign EIP-712 orders and POST /v1/bids over TLS.</w:t>
      </w:r>
    </w:p>
    <w:p>
      <w:pPr>
        <w:pStyle w:val="ListParagraph"/>
        <w:numPr>
          <w:ilvl w:val="0"/>
          <w:numId w:val="4"/>
        </w:numPr>
        <w:spacing w:after="80" w:line="276"/>
      </w:pPr>
      <w:r>
        <w:rPr>
          <w:rFonts w:ascii="Arial" w:cs="Arial" w:eastAsia="Arial" w:hAnsi="Arial"/>
          <w:sz w:val="22"/>
          <w:szCs w:val="22"/>
        </w:rPr>
        <w:t xml:space="preserve">Curated facilities: quote live USDC capacity through the facility aggregator.</w:t>
      </w:r>
    </w:p>
    <w:p>
      <w:pPr>
        <w:spacing w:after="160" w:before="0" w:line="276"/>
      </w:pPr>
      <w:r>
        <w:rPr>
          <w:rFonts w:ascii="Arial" w:cs="Arial" w:eastAsia="Arial" w:hAnsi="Arial"/>
          <w:sz w:val="22"/>
          <w:szCs w:val="22"/>
        </w:rPr>
        <w:t xml:space="preserve">A third input, Aerodrome, is a read-only max-seize floor. It is not a bidder and not a settlement venue in v1.</w:t>
      </w:r>
    </w:p>
    <w:p>
      <w:pPr>
        <w:spacing w:after="160" w:before="0" w:line="276"/>
      </w:pPr>
      <w:r>
        <w:rPr>
          <w:rFonts w:ascii="Arial" w:cs="Arial" w:eastAsia="Arial" w:hAnsi="Arial"/>
          <w:sz w:val="22"/>
          <w:szCs w:val="22"/>
        </w:rPr>
        <w:t xml:space="preserve">The backend selects one eligible funder and notifies the bound winner. The winner signs executeLiquidationRoute in MetaMask (or ERC-1271). Solidity does not re-rank. It enforces signature, oracle, B20 policy, deadline, fee, adapter allowlist, both minimums, and maxDecisionBlockAge.</w:t>
      </w:r>
    </w:p>
    <w:p>
      <w:pPr>
        <w:pStyle w:val="Heading2"/>
        <w:spacing w:after="120" w:before="260"/>
      </w:pPr>
      <w:bookmarkStart w:name="sec-2-2" w:id="12"/>
      <w:r>
        <w:rPr>
          <w:rFonts w:ascii="Arial" w:cs="Arial" w:eastAsia="Arial" w:hAnsi="Arial"/>
          <w:b/>
          <w:bCs/>
          <w:color w:val="1F4E79"/>
          <w:sz w:val="26"/>
          <w:szCs w:val="26"/>
        </w:rPr>
        <w:t xml:space="preserve">2.2 System overview</w:t>
      </w:r>
      <w:bookmarkEnd w:id="12"/>
    </w:p>
    <w:p>
      <w:pPr>
        <w:spacing w:after="160" w:before="0" w:line="276"/>
      </w:pPr>
      <w:r>
        <w:rPr>
          <w:rFonts w:ascii="Arial" w:cs="Arial" w:eastAsia="Arial" w:hAnsi="Arial"/>
          <w:sz w:val="22"/>
          <w:szCs w:val="22"/>
        </w:rPr>
        <w:t xml:space="preserve">Figure 1 is the system context. Participants talk to a keyless NestJS coordination plane. The bound winner — never the keeper and never the API — submits the settlement transaction on Base. Venue adapters call official liquidate / allocate only. Aerodrome is dashed: the ranker reads it; settlement does not dump through it.</w:t>
      </w:r>
    </w:p>
    <w:p>
      <w:pPr>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pPr>
    </w:p>
    <w:p>
      <w:pPr>
        <w:spacing w:after="40" w:before="80"/>
        <w:jc w:val="center"/>
      </w:pPr>
      <w:r>
        <w:drawing>
          <wp:inline distT="0" distB="0" distL="0" distR="0">
            <wp:extent cx="8953500" cy="3190875"/>
            <wp:effectExtent t="0" r="0" b="0" l="0"/>
            <wp:docPr id="1" name="System overview" descr="Participants, keyless Katon backend, Base EVM settlement contracts, and v1 venues. Aerodrome is a dashed read-only floor." title="Figure 1. Syste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8953500" cy="3190875"/>
                    </a:xfrm>
                    <a:prstGeom prst="rect">
                      <a:avLst/>
                    </a:prstGeom>
                  </pic:spPr>
                </pic:pic>
              </a:graphicData>
            </a:graphic>
          </wp:inline>
        </w:drawing>
      </w:r>
    </w:p>
    <w:p>
      <w:pPr>
        <w:spacing w:after="80" w:before="80"/>
        <w:jc w:val="center"/>
      </w:pPr>
      <w:bookmarkStart w:name="fig-1" w:id="66"/>
      <w:r>
        <w:rPr>
          <w:rFonts w:ascii="Arial" w:cs="Arial" w:eastAsia="Arial" w:hAnsi="Arial"/>
          <w:i/>
          <w:iCs/>
          <w:color w:val="595959"/>
          <w:sz w:val="18"/>
          <w:szCs w:val="18"/>
        </w:rPr>
        <w:t xml:space="preserve">Figure 1. Katon on Base — system overview. Dashed edges are unsigned calldata or read-only floor quotes. Solid edges to venues are typed liquidate / allocate.</w:t>
      </w:r>
      <w:bookmarkEnd w:id="66"/>
    </w:p>
    <w:p>
      <w:pPr>
        <w:sectPr>
          <w:headerReference w:type="default" r:id="rId11"/>
          <w:footerReference w:type="default" r:id="rId12"/>
          <w:pgSz w:w="15840" w:h="12240" w:orient="landscape"/>
          <w:pgMar w:top="864" w:right="864" w:bottom="864" w:left="864" w:header="708" w:footer="708" w:gutter="0"/>
          <w:pgNumType/>
          <w:docGrid w:linePitch="360"/>
        </w:sectPr>
      </w:pPr>
    </w:p>
    <w:p>
      <w:pPr>
        <w:pStyle w:val="Heading2"/>
        <w:spacing w:after="80" w:before="0"/>
      </w:pPr>
      <w:bookmarkStart w:name="sec-2-3" w:id="13"/>
      <w:r>
        <w:rPr>
          <w:rFonts w:ascii="Arial" w:cs="Arial" w:eastAsia="Arial" w:hAnsi="Arial"/>
          <w:b/>
          <w:bCs/>
          <w:color w:val="1F4E79"/>
          <w:sz w:val="26"/>
          <w:szCs w:val="26"/>
        </w:rPr>
        <w:t xml:space="preserve">2.3 Detailed components</w:t>
      </w:r>
      <w:bookmarkEnd w:id="13"/>
    </w:p>
    <w:p>
      <w:pPr>
        <w:spacing w:after="160" w:before="0" w:line="276"/>
      </w:pPr>
      <w:r>
        <w:rPr>
          <w:rFonts w:ascii="Arial" w:cs="Arial" w:eastAsia="Arial" w:hAnsi="Arial"/>
          <w:sz w:val="22"/>
          <w:szCs w:val="22"/>
        </w:rPr>
        <w:t xml:space="preserve">Figure 2 expands the same shape into packages and contracts. Ranking lives in packages/base-core (compareLiquidationBids). The API assembles an unsigned executeLiquidationRoute for the bound winner only. Non-winners receive UNAUTHORIZED and no calldata. OracleGuard and B20Guard are fail-closed reads at settlement, not a second ranking pass.</w:t>
      </w:r>
    </w:p>
    <w:p>
      <w:pPr>
        <w:spacing w:after="40" w:before="80"/>
        <w:jc w:val="center"/>
      </w:pPr>
      <w:r>
        <w:drawing>
          <wp:inline distT="0" distB="0" distL="0" distR="0">
            <wp:extent cx="8953500" cy="3067050"/>
            <wp:effectExtent t="0" r="0" b="0" l="0"/>
            <wp:docPr id="1" name="Detailed components" descr="Clients, NestJS coordination plane with ranker and MongoDB, Base EVM contracts and guards, and v1 venues." title="Figure 2. Detailed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8953500" cy="3067050"/>
                    </a:xfrm>
                    <a:prstGeom prst="rect">
                      <a:avLst/>
                    </a:prstGeom>
                  </pic:spPr>
                </pic:pic>
              </a:graphicData>
            </a:graphic>
          </wp:inline>
        </w:drawing>
      </w:r>
    </w:p>
    <w:p>
      <w:pPr>
        <w:spacing w:after="80" w:before="80"/>
        <w:jc w:val="center"/>
      </w:pPr>
      <w:bookmarkStart w:name="fig-2" w:id="67"/>
      <w:r>
        <w:rPr>
          <w:rFonts w:ascii="Arial" w:cs="Arial" w:eastAsia="Arial" w:hAnsi="Arial"/>
          <w:i/>
          <w:iCs/>
          <w:color w:val="595959"/>
          <w:sz w:val="18"/>
          <w:szCs w:val="18"/>
        </w:rPr>
        <w:t xml:space="preserve">Figure 2. Detailed components. Clients, coordination plane, Base EVM, and v1 venues. Ranker → Aerodrome is read-only. Winner-signed settlement is the only path that moves funds.</w:t>
      </w:r>
      <w:bookmarkEnd w:id="67"/>
    </w:p>
    <w:p>
      <w:pPr>
        <w:sectPr>
          <w:headerReference w:type="default" r:id="rId13"/>
          <w:footerReference w:type="default" r:id="rId14"/>
          <w:pgSz w:w="15840" w:h="12240" w:orient="landscape"/>
          <w:pgMar w:top="864" w:right="864" w:bottom="864" w:left="864" w:header="708" w:footer="708" w:gutter="0"/>
          <w:pgNumType/>
          <w:docGrid w:linePitch="360"/>
        </w:sectPr>
      </w:pPr>
    </w:p>
    <w:p>
      <w:pPr>
        <w:pStyle w:val="Heading2"/>
        <w:spacing w:after="120" w:before="260"/>
      </w:pPr>
      <w:bookmarkStart w:name="sec-2-4" w:id="14"/>
      <w:r>
        <w:rPr>
          <w:rFonts w:ascii="Arial" w:cs="Arial" w:eastAsia="Arial" w:hAnsi="Arial"/>
          <w:b/>
          <w:bCs/>
          <w:color w:val="1F4E79"/>
          <w:sz w:val="26"/>
          <w:szCs w:val="26"/>
        </w:rPr>
        <w:t xml:space="preserve">2.4 Architecture constraints</w:t>
      </w:r>
      <w:bookmarkEnd w:id="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cantSplit/>
          <w:tblHeader/>
        </w:trPr>
        <w:tc>
          <w:tcPr>
            <w:tcW w:type="dxa" w:w="8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w:t>
            </w:r>
          </w:p>
        </w:tc>
        <w:tc>
          <w:tcPr>
            <w:tcW w:type="dxa" w:w="28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Constraint</w:t>
            </w:r>
          </w:p>
        </w:tc>
        <w:tc>
          <w:tcPr>
            <w:tcW w:type="dxa" w:w="576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Description</w:t>
            </w:r>
          </w:p>
        </w:tc>
      </w:tr>
      <w:tr>
        <w:trPr>
          <w:cantSplit/>
        </w:trPr>
        <w:tc>
          <w:tcPr>
            <w:tcW w:type="dxa" w:w="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1</w:t>
            </w:r>
          </w:p>
        </w:tc>
        <w:tc>
          <w:tcPr>
            <w:tcW w:type="dxa" w:w="2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Non-custodial backend</w:t>
            </w:r>
          </w:p>
        </w:tc>
        <w:tc>
          <w:tcPr>
            <w:tcW w:type="dxa" w:w="57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Every fund movement is signed by a wallet or authorized by a contract. Boot fails if a settlement key is configured.</w:t>
            </w:r>
          </w:p>
        </w:tc>
      </w:tr>
      <w:tr>
        <w:trPr>
          <w:cantSplit/>
        </w:trPr>
        <w:tc>
          <w:tcPr>
            <w:tcW w:type="dxa" w:w="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2</w:t>
            </w:r>
          </w:p>
        </w:tc>
        <w:tc>
          <w:tcPr>
            <w:tcW w:type="dxa" w:w="2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Atomic settlement</w:t>
            </w:r>
          </w:p>
        </w:tc>
        <w:tc>
          <w:tcPr>
            <w:tcW w:type="dxa" w:w="57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Supply USDC, repay the venue, transfer B20, take at most one fee: one transaction or total revert.</w:t>
            </w:r>
          </w:p>
        </w:tc>
      </w:tr>
      <w:tr>
        <w:trPr>
          <w:cantSplit/>
        </w:trPr>
        <w:tc>
          <w:tcPr>
            <w:tcW w:type="dxa" w:w="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3</w:t>
            </w:r>
          </w:p>
        </w:tc>
        <w:tc>
          <w:tcPr>
            <w:tcW w:type="dxa" w:w="2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Funding-auction ranking</w:t>
            </w:r>
          </w:p>
        </w:tc>
        <w:tc>
          <w:tcPr>
            <w:tcW w:type="dxa" w:w="57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One winner. Venue-fixed seize. Dual min_out after one protocol fee.</w:t>
            </w:r>
          </w:p>
        </w:tc>
      </w:tr>
      <w:tr>
        <w:trPr>
          <w:cantSplit/>
        </w:trPr>
        <w:tc>
          <w:tcPr>
            <w:tcW w:type="dxa" w:w="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4</w:t>
            </w:r>
          </w:p>
        </w:tc>
        <w:tc>
          <w:tcPr>
            <w:tcW w:type="dxa" w:w="2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Unified auction channel</w:t>
            </w:r>
          </w:p>
        </w:tc>
        <w:tc>
          <w:tcPr>
            <w:tcW w:type="dxa" w:w="57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LP orders, facility quotes, and the Aerodrome floor share one comparator.</w:t>
            </w:r>
          </w:p>
        </w:tc>
      </w:tr>
      <w:tr>
        <w:trPr>
          <w:cantSplit/>
        </w:trPr>
        <w:tc>
          <w:tcPr>
            <w:tcW w:type="dxa" w:w="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5</w:t>
            </w:r>
          </w:p>
        </w:tc>
        <w:tc>
          <w:tcPr>
            <w:tcW w:type="dxa" w:w="2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Winner submits</w:t>
            </w:r>
          </w:p>
        </w:tc>
        <w:tc>
          <w:tcPr>
            <w:tcW w:type="dxa" w:w="57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msg.sender == winner. Keepers never submit.</w:t>
            </w:r>
          </w:p>
        </w:tc>
      </w:tr>
      <w:tr>
        <w:trPr>
          <w:cantSplit/>
        </w:trPr>
        <w:tc>
          <w:tcPr>
            <w:tcW w:type="dxa" w:w="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6</w:t>
            </w:r>
          </w:p>
        </w:tc>
        <w:tc>
          <w:tcPr>
            <w:tcW w:type="dxa" w:w="2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EIP-712 anti-replay</w:t>
            </w:r>
          </w:p>
        </w:tc>
        <w:tc>
          <w:tcPr>
            <w:tcW w:type="dxa" w:w="57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Domain binds name, version, chainId, and verifying contract. Order salt, usedRfqIds, cancelledSalt.</w:t>
            </w:r>
          </w:p>
        </w:tc>
      </w:tr>
      <w:tr>
        <w:trPr>
          <w:cantSplit/>
        </w:trPr>
        <w:tc>
          <w:tcPr>
            <w:tcW w:type="dxa" w:w="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7</w:t>
            </w:r>
          </w:p>
        </w:tc>
        <w:tc>
          <w:tcPr>
            <w:tcW w:type="dxa" w:w="2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B20 policy at settlement</w:t>
            </w:r>
          </w:p>
        </w:tc>
        <w:tc>
          <w:tcPr>
            <w:tcW w:type="dxa" w:w="57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isAuthorized plus TRANSFER/SEIZE pause. No extra desk KYC. approve is not policy-gated.</w:t>
            </w:r>
          </w:p>
        </w:tc>
      </w:tr>
      <w:tr>
        <w:trPr>
          <w:cantSplit/>
        </w:trPr>
        <w:tc>
          <w:tcPr>
            <w:tcW w:type="dxa" w:w="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8</w:t>
            </w:r>
          </w:p>
        </w:tc>
        <w:tc>
          <w:tcPr>
            <w:tcW w:type="dxa" w:w="2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Modular venues</w:t>
            </w:r>
          </w:p>
        </w:tc>
        <w:tc>
          <w:tcPr>
            <w:tcW w:type="dxa" w:w="57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Adding a protocol means adding an adapter with a pinned bytecode hash. No user calldata.</w:t>
            </w:r>
          </w:p>
        </w:tc>
      </w:tr>
      <w:tr>
        <w:trPr>
          <w:cantSplit/>
        </w:trPr>
        <w:tc>
          <w:tcPr>
            <w:tcW w:type="dxa" w:w="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9</w:t>
            </w:r>
          </w:p>
        </w:tc>
        <w:tc>
          <w:tcPr>
            <w:tcW w:type="dxa" w:w="2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Curated facilities</w:t>
            </w:r>
          </w:p>
        </w:tc>
        <w:tc>
          <w:tcPr>
            <w:tcW w:type="dxa" w:w="57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Facilities act only inside curator policy. No arbitrary external calls.</w:t>
            </w:r>
          </w:p>
        </w:tc>
      </w:tr>
      <w:tr>
        <w:trPr>
          <w:cantSplit/>
        </w:trPr>
        <w:tc>
          <w:tcPr>
            <w:tcW w:type="dxa" w:w="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10</w:t>
            </w:r>
          </w:p>
        </w:tc>
        <w:tc>
          <w:tcPr>
            <w:tcW w:type="dxa" w:w="2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Base-only v1</w:t>
            </w:r>
          </w:p>
        </w:tc>
        <w:tc>
          <w:tcPr>
            <w:tcW w:type="dxa" w:w="57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Base Sepolia 84532 first. Gated Base mainnet 8453 later.</w:t>
            </w:r>
          </w:p>
        </w:tc>
      </w:tr>
      <w:tr>
        <w:trPr>
          <w:cantSplit/>
        </w:trPr>
        <w:tc>
          <w:tcPr>
            <w:tcW w:type="dxa" w:w="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11</w:t>
            </w:r>
          </w:p>
        </w:tc>
        <w:tc>
          <w:tcPr>
            <w:tcW w:type="dxa" w:w="2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Native USDC only</w:t>
            </w:r>
          </w:p>
        </w:tc>
        <w:tc>
          <w:tcPr>
            <w:tcW w:type="dxa" w:w="57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Circle USDC per network. Bridged USDbC is rejected.</w:t>
            </w:r>
          </w:p>
        </w:tc>
      </w:tr>
      <w:tr>
        <w:trPr>
          <w:cantSplit/>
        </w:trPr>
        <w:tc>
          <w:tcPr>
            <w:tcW w:type="dxa" w:w="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12</w:t>
            </w:r>
          </w:p>
        </w:tc>
        <w:tc>
          <w:tcPr>
            <w:tcW w:type="dxa" w:w="2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Integer units</w:t>
            </w:r>
          </w:p>
        </w:tc>
        <w:tc>
          <w:tcPr>
            <w:tcW w:type="dxa" w:w="57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Amounts at every trust boundary are integer base units. Convert with mulDiv.</w:t>
            </w:r>
          </w:p>
        </w:tc>
      </w:tr>
      <w:tr>
        <w:trPr>
          <w:cantSplit/>
        </w:trPr>
        <w:tc>
          <w:tcPr>
            <w:tcW w:type="dxa" w:w="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13</w:t>
            </w:r>
          </w:p>
        </w:tc>
        <w:tc>
          <w:tcPr>
            <w:tcW w:type="dxa" w:w="2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No v1 swap page</w:t>
            </w:r>
          </w:p>
        </w:tc>
        <w:tc>
          <w:tcPr>
            <w:tcW w:type="dxa" w:w="57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executeSwapRoute is reserved and unexposed. Aerodrome is not a dump venue.</w:t>
            </w:r>
          </w:p>
        </w:tc>
      </w:tr>
    </w:tbl>
    <w:p>
      <w:pPr>
        <w:spacing w:after="120"/>
      </w:pPr>
    </w:p>
    <w:p>
      <w:pPr>
        <w:pStyle w:val="Heading2"/>
        <w:spacing w:after="120" w:before="260"/>
      </w:pPr>
      <w:bookmarkStart w:name="sec-2-5" w:id="15"/>
      <w:r>
        <w:rPr>
          <w:rFonts w:ascii="Arial" w:cs="Arial" w:eastAsia="Arial" w:hAnsi="Arial"/>
          <w:b/>
          <w:bCs/>
          <w:color w:val="1F4E79"/>
          <w:sz w:val="26"/>
          <w:szCs w:val="26"/>
        </w:rPr>
        <w:t xml:space="preserve">2.5 Functional scope</w:t>
      </w:r>
      <w:bookmarkEnd w:id="15"/>
    </w:p>
    <w:p>
      <w:pPr>
        <w:spacing w:after="160" w:before="0" w:line="276"/>
      </w:pPr>
      <w:r>
        <w:rPr>
          <w:rFonts w:ascii="Arial" w:cs="Arial" w:eastAsia="Arial" w:hAnsi="Arial"/>
          <w:b/>
          <w:bCs/>
          <w:sz w:val="22"/>
          <w:szCs w:val="22"/>
        </w:rPr>
        <w:t xml:space="preserve">In v1:</w:t>
      </w:r>
    </w:p>
    <w:p>
      <w:pPr>
        <w:pStyle w:val="ListParagraph"/>
        <w:numPr>
          <w:ilvl w:val="0"/>
          <w:numId w:val="2"/>
        </w:numPr>
        <w:spacing w:after="60" w:line="276"/>
      </w:pPr>
      <w:r>
        <w:rPr>
          <w:rFonts w:ascii="Arial" w:cs="Arial" w:eastAsia="Arial" w:hAnsi="Arial"/>
          <w:sz w:val="22"/>
          <w:szCs w:val="22"/>
        </w:rPr>
        <w:t xml:space="preserve">Public liquidation RFQ (pair, size, min_out, deadline public; losing LP prices unpublished)</w:t>
      </w:r>
    </w:p>
    <w:p>
      <w:pPr>
        <w:pStyle w:val="ListParagraph"/>
        <w:numPr>
          <w:ilvl w:val="0"/>
          <w:numId w:val="2"/>
        </w:numPr>
        <w:spacing w:after="60" w:line="276"/>
      </w:pPr>
      <w:r>
        <w:rPr>
          <w:rFonts w:ascii="Arial" w:cs="Arial" w:eastAsia="Arial" w:hAnsi="Arial"/>
          <w:sz w:val="22"/>
          <w:szCs w:val="22"/>
        </w:rPr>
        <w:t xml:space="preserve">Standing and one-off EIP-712 LP bids over TLS</w:t>
      </w:r>
    </w:p>
    <w:p>
      <w:pPr>
        <w:pStyle w:val="ListParagraph"/>
        <w:numPr>
          <w:ilvl w:val="0"/>
          <w:numId w:val="2"/>
        </w:numPr>
        <w:spacing w:after="60" w:line="276"/>
      </w:pPr>
      <w:r>
        <w:rPr>
          <w:rFonts w:ascii="Arial" w:cs="Arial" w:eastAsia="Arial" w:hAnsi="Arial"/>
          <w:sz w:val="22"/>
          <w:szCs w:val="22"/>
        </w:rPr>
        <w:t xml:space="preserve">ERC-4626 facilities with FIFO queued withdraw</w:t>
      </w:r>
    </w:p>
    <w:p>
      <w:pPr>
        <w:pStyle w:val="ListParagraph"/>
        <w:numPr>
          <w:ilvl w:val="0"/>
          <w:numId w:val="2"/>
        </w:numPr>
        <w:spacing w:after="60" w:line="276"/>
      </w:pPr>
      <w:r>
        <w:rPr>
          <w:rFonts w:ascii="Arial" w:cs="Arial" w:eastAsia="Arial" w:hAnsi="Arial"/>
          <w:sz w:val="22"/>
          <w:szCs w:val="22"/>
        </w:rPr>
        <w:t xml:space="preserve">Aave / Morpho / Euler yield allocation and typed liquidation</w:t>
      </w:r>
    </w:p>
    <w:p>
      <w:pPr>
        <w:pStyle w:val="ListParagraph"/>
        <w:numPr>
          <w:ilvl w:val="0"/>
          <w:numId w:val="2"/>
        </w:numPr>
        <w:spacing w:after="60" w:line="276"/>
      </w:pPr>
      <w:r>
        <w:rPr>
          <w:rFonts w:ascii="Arial" w:cs="Arial" w:eastAsia="Arial" w:hAnsi="Arial"/>
          <w:sz w:val="22"/>
          <w:szCs w:val="22"/>
        </w:rPr>
        <w:t xml:space="preserve">Aerodrome as a read-only max-seize floor</w:t>
      </w:r>
    </w:p>
    <w:p>
      <w:pPr>
        <w:pStyle w:val="ListParagraph"/>
        <w:numPr>
          <w:ilvl w:val="0"/>
          <w:numId w:val="2"/>
        </w:numPr>
        <w:spacing w:after="60" w:line="276"/>
      </w:pPr>
      <w:r>
        <w:rPr>
          <w:rFonts w:ascii="Arial" w:cs="Arial" w:eastAsia="Arial" w:hAnsi="Arial"/>
          <w:sz w:val="22"/>
          <w:szCs w:val="22"/>
        </w:rPr>
        <w:t xml:space="preserve">Chainlink total-return feeds, Coinbase oracle-registry pause, Base sequencer uptime</w:t>
      </w:r>
    </w:p>
    <w:p>
      <w:pPr>
        <w:pStyle w:val="ListParagraph"/>
        <w:numPr>
          <w:ilvl w:val="0"/>
          <w:numId w:val="2"/>
        </w:numPr>
        <w:spacing w:after="60" w:line="276"/>
      </w:pPr>
      <w:r>
        <w:rPr>
          <w:rFonts w:ascii="Arial" w:cs="Arial" w:eastAsia="Arial" w:hAnsi="Arial"/>
          <w:sz w:val="22"/>
          <w:szCs w:val="22"/>
        </w:rPr>
        <w:t xml:space="preserve">B20 isAuthorized, TRANSFER/SEIZE pause, scaledBalanceOf / WAD</w:t>
      </w:r>
    </w:p>
    <w:p>
      <w:pPr>
        <w:pStyle w:val="ListParagraph"/>
        <w:numPr>
          <w:ilvl w:val="0"/>
          <w:numId w:val="2"/>
        </w:numPr>
        <w:spacing w:after="60" w:line="276"/>
      </w:pPr>
      <w:r>
        <w:rPr>
          <w:rFonts w:ascii="Arial" w:cs="Arial" w:eastAsia="Arial" w:hAnsi="Arial"/>
          <w:sz w:val="22"/>
          <w:szCs w:val="22"/>
        </w:rPr>
        <w:t xml:space="preserve">Curator dashboard and depositor vault UI</w:t>
      </w:r>
    </w:p>
    <w:p>
      <w:pPr>
        <w:pStyle w:val="ListParagraph"/>
        <w:numPr>
          <w:ilvl w:val="0"/>
          <w:numId w:val="2"/>
        </w:numPr>
        <w:spacing w:after="60" w:line="276"/>
      </w:pPr>
      <w:r>
        <w:rPr>
          <w:rFonts w:ascii="Arial" w:cs="Arial" w:eastAsia="Arial" w:hAnsi="Arial"/>
          <w:sz w:val="22"/>
          <w:szCs w:val="22"/>
        </w:rPr>
        <w:t xml:space="preserve">LP TypeScript SDK and example funding bot</w:t>
      </w:r>
    </w:p>
    <w:p>
      <w:pPr>
        <w:pStyle w:val="ListParagraph"/>
        <w:numPr>
          <w:ilvl w:val="0"/>
          <w:numId w:val="2"/>
        </w:numPr>
        <w:spacing w:after="60" w:line="276"/>
      </w:pPr>
      <w:r>
        <w:rPr>
          <w:rFonts w:ascii="Arial" w:cs="Arial" w:eastAsia="Arial" w:hAnsi="Arial"/>
          <w:sz w:val="22"/>
          <w:szCs w:val="22"/>
        </w:rPr>
        <w:t xml:space="preserve">Headed MetaMask QA on Base Sepolia</w:t>
      </w:r>
    </w:p>
    <w:p>
      <w:pPr>
        <w:spacing w:after="160" w:before="0" w:line="276"/>
      </w:pPr>
      <w:r>
        <w:rPr>
          <w:rFonts w:ascii="Arial" w:cs="Arial" w:eastAsia="Arial" w:hAnsi="Arial"/>
          <w:b/>
          <w:bCs/>
          <w:sz w:val="22"/>
          <w:szCs w:val="22"/>
        </w:rPr>
        <w:t xml:space="preserve">Out of v1:</w:t>
      </w:r>
    </w:p>
    <w:p>
      <w:pPr>
        <w:pStyle w:val="ListParagraph"/>
        <w:numPr>
          <w:ilvl w:val="0"/>
          <w:numId w:val="2"/>
        </w:numPr>
        <w:spacing w:after="60" w:line="276"/>
      </w:pPr>
      <w:r>
        <w:rPr>
          <w:rFonts w:ascii="Arial" w:cs="Arial" w:eastAsia="Arial" w:hAnsi="Arial"/>
          <w:sz w:val="22"/>
          <w:szCs w:val="22"/>
        </w:rPr>
        <w:t xml:space="preserve">Confidential or sealed-size auctions</w:t>
      </w:r>
    </w:p>
    <w:p>
      <w:pPr>
        <w:pStyle w:val="ListParagraph"/>
        <w:numPr>
          <w:ilvl w:val="0"/>
          <w:numId w:val="2"/>
        </w:numPr>
        <w:spacing w:after="60" w:line="276"/>
      </w:pPr>
      <w:r>
        <w:rPr>
          <w:rFonts w:ascii="Arial" w:cs="Arial" w:eastAsia="Arial" w:hAnsi="Arial"/>
          <w:sz w:val="22"/>
          <w:szCs w:val="22"/>
        </w:rPr>
        <w:t xml:space="preserve">Live public losing-bid ladder</w:t>
      </w:r>
    </w:p>
    <w:p>
      <w:pPr>
        <w:pStyle w:val="ListParagraph"/>
        <w:numPr>
          <w:ilvl w:val="0"/>
          <w:numId w:val="2"/>
        </w:numPr>
        <w:spacing w:after="60" w:line="276"/>
      </w:pPr>
      <w:r>
        <w:rPr>
          <w:rFonts w:ascii="Arial" w:cs="Arial" w:eastAsia="Arial" w:hAnsi="Arial"/>
          <w:sz w:val="22"/>
          <w:szCs w:val="22"/>
        </w:rPr>
        <w:t xml:space="preserve">Spot stock-for-USDC page</w:t>
      </w:r>
    </w:p>
    <w:p>
      <w:pPr>
        <w:pStyle w:val="ListParagraph"/>
        <w:numPr>
          <w:ilvl w:val="0"/>
          <w:numId w:val="2"/>
        </w:numPr>
        <w:spacing w:after="60" w:line="276"/>
      </w:pPr>
      <w:r>
        <w:rPr>
          <w:rFonts w:ascii="Arial" w:cs="Arial" w:eastAsia="Arial" w:hAnsi="Arial"/>
          <w:sz w:val="22"/>
          <w:szCs w:val="22"/>
        </w:rPr>
        <w:t xml:space="preserve">Authorized-participant mint or redeem</w:t>
      </w:r>
    </w:p>
    <w:p>
      <w:pPr>
        <w:pStyle w:val="ListParagraph"/>
        <w:numPr>
          <w:ilvl w:val="0"/>
          <w:numId w:val="2"/>
        </w:numPr>
        <w:spacing w:after="60" w:line="276"/>
      </w:pPr>
      <w:r>
        <w:rPr>
          <w:rFonts w:ascii="Arial" w:cs="Arial" w:eastAsia="Arial" w:hAnsi="Arial"/>
          <w:sz w:val="22"/>
          <w:szCs w:val="22"/>
        </w:rPr>
        <w:t xml:space="preserve">Extra desk KYC or a parallel OFAC list</w:t>
      </w:r>
    </w:p>
    <w:p>
      <w:pPr>
        <w:pStyle w:val="ListParagraph"/>
        <w:numPr>
          <w:ilvl w:val="0"/>
          <w:numId w:val="2"/>
        </w:numPr>
        <w:spacing w:after="60" w:line="276"/>
      </w:pPr>
      <w:r>
        <w:rPr>
          <w:rFonts w:ascii="Arial" w:cs="Arial" w:eastAsia="Arial" w:hAnsi="Arial"/>
          <w:sz w:val="22"/>
          <w:szCs w:val="22"/>
        </w:rPr>
        <w:t xml:space="preserve">Rebate-style liquidation (LP names collateral kept)</w:t>
      </w:r>
    </w:p>
    <w:p>
      <w:pPr>
        <w:pStyle w:val="ListParagraph"/>
        <w:numPr>
          <w:ilvl w:val="0"/>
          <w:numId w:val="2"/>
        </w:numPr>
        <w:spacing w:after="60" w:line="276"/>
      </w:pPr>
      <w:r>
        <w:rPr>
          <w:rFonts w:ascii="Arial" w:cs="Arial" w:eastAsia="Arial" w:hAnsi="Arial"/>
          <w:sz w:val="22"/>
          <w:szCs w:val="22"/>
        </w:rPr>
        <w:t xml:space="preserve">Bridged USDbC</w:t>
      </w:r>
    </w:p>
    <w:p>
      <w:pPr>
        <w:pStyle w:val="ListParagraph"/>
        <w:numPr>
          <w:ilvl w:val="0"/>
          <w:numId w:val="2"/>
        </w:numPr>
        <w:spacing w:after="60" w:line="276"/>
      </w:pPr>
      <w:r>
        <w:rPr>
          <w:rFonts w:ascii="Arial" w:cs="Arial" w:eastAsia="Arial" w:hAnsi="Arial"/>
          <w:sz w:val="22"/>
          <w:szCs w:val="22"/>
        </w:rPr>
        <w:t xml:space="preserve">Mainnet funds before Sepolia evidence, venue-fork conformance, and audit gates</w:t>
      </w:r>
    </w:p>
    <w:p>
      <w:pPr>
        <w:pStyle w:val="Heading1"/>
        <w:pBdr>
          <w:bottom w:val="single" w:color="1F4E79" w:sz="8" w:space="4"/>
        </w:pBdr>
        <w:spacing w:after="160" w:before="320"/>
      </w:pPr>
      <w:bookmarkStart w:name="sec-3" w:id="16"/>
      <w:r>
        <w:rPr>
          <w:rFonts w:ascii="Arial" w:cs="Arial" w:eastAsia="Arial" w:hAnsi="Arial"/>
          <w:b/>
          <w:bCs/>
          <w:color w:val="1F4E79"/>
          <w:sz w:val="32"/>
          <w:szCs w:val="32"/>
        </w:rPr>
        <w:t xml:space="preserve">3. Smart contracts</w:t>
      </w:r>
      <w:bookmarkEnd w:id="16"/>
    </w:p>
    <w:p>
      <w:pPr>
        <w:spacing w:after="160" w:before="0" w:line="276"/>
      </w:pPr>
      <w:r>
        <w:rPr>
          <w:rFonts w:ascii="Arial" w:cs="Arial" w:eastAsia="Arial" w:hAnsi="Arial"/>
          <w:sz w:val="22"/>
          <w:szCs w:val="22"/>
        </w:rPr>
        <w:t xml:space="preserve">Typed Solidity signatures are in section 7. Figure 7 is the interface map.</w:t>
      </w:r>
    </w:p>
    <w:p>
      <w:pPr>
        <w:pStyle w:val="Heading2"/>
        <w:spacing w:after="120" w:before="260"/>
      </w:pPr>
      <w:bookmarkStart w:name="sec-3-1" w:id="17"/>
      <w:r>
        <w:rPr>
          <w:rFonts w:ascii="Arial" w:cs="Arial" w:eastAsia="Arial" w:hAnsi="Arial"/>
          <w:b/>
          <w:bCs/>
          <w:color w:val="1F4E79"/>
          <w:sz w:val="26"/>
          <w:szCs w:val="26"/>
        </w:rPr>
        <w:t xml:space="preserve">3.1 Settlement</w:t>
      </w:r>
      <w:bookmarkEnd w:id="17"/>
    </w:p>
    <w:p>
      <w:pPr>
        <w:spacing w:after="160" w:before="0" w:line="276"/>
      </w:pPr>
      <w:r>
        <w:rPr>
          <w:rFonts w:ascii="Arial" w:cs="Arial" w:eastAsia="Arial" w:hAnsi="Arial"/>
          <w:sz w:val="22"/>
          <w:szCs w:val="22"/>
        </w:rPr>
        <w:t xml:space="preserve">EVM contract that fills maker-signed liquidation funding orders between native USDC and a B20 token.</w:t>
      </w:r>
    </w:p>
    <w:p>
      <w:pPr>
        <w:spacing w:after="160" w:before="0" w:line="276"/>
      </w:pPr>
      <w:r>
        <w:rPr>
          <w:rFonts w:ascii="Arial" w:cs="Arial" w:eastAsia="Arial" w:hAnsi="Arial"/>
          <w:b/>
          <w:bCs/>
          <w:sz w:val="22"/>
          <w:szCs w:val="22"/>
        </w:rPr>
        <w:t xml:space="preserve">Responsibilities:</w:t>
      </w:r>
    </w:p>
    <w:p>
      <w:pPr>
        <w:pStyle w:val="ListParagraph"/>
        <w:numPr>
          <w:ilvl w:val="0"/>
          <w:numId w:val="2"/>
        </w:numPr>
        <w:spacing w:after="60" w:line="276"/>
      </w:pPr>
      <w:r>
        <w:rPr>
          <w:rFonts w:ascii="Arial" w:cs="Arial" w:eastAsia="Arial" w:hAnsi="Arial"/>
          <w:sz w:val="22"/>
          <w:szCs w:val="22"/>
        </w:rPr>
        <w:t xml:space="preserve">EIP-712 signature verification (EOA and ERC-1271)</w:t>
      </w:r>
    </w:p>
    <w:p>
      <w:pPr>
        <w:pStyle w:val="ListParagraph"/>
        <w:numPr>
          <w:ilvl w:val="0"/>
          <w:numId w:val="2"/>
        </w:numPr>
        <w:spacing w:after="60" w:line="276"/>
      </w:pPr>
      <w:r>
        <w:rPr>
          <w:rFonts w:ascii="Arial" w:cs="Arial" w:eastAsia="Arial" w:hAnsi="Arial"/>
          <w:sz w:val="22"/>
          <w:szCs w:val="22"/>
        </w:rPr>
        <w:t xml:space="preserve">USDC pull via transferFrom after maker approve</w:t>
      </w:r>
    </w:p>
    <w:p>
      <w:pPr>
        <w:pStyle w:val="ListParagraph"/>
        <w:numPr>
          <w:ilvl w:val="0"/>
          <w:numId w:val="2"/>
        </w:numPr>
        <w:spacing w:after="60" w:line="276"/>
      </w:pPr>
      <w:r>
        <w:rPr>
          <w:rFonts w:ascii="Arial" w:cs="Arial" w:eastAsia="Arial" w:hAnsi="Arial"/>
          <w:sz w:val="22"/>
          <w:szCs w:val="22"/>
        </w:rPr>
        <w:t xml:space="preserve">Fill accounting and cancel / salt invalidation</w:t>
      </w:r>
    </w:p>
    <w:p>
      <w:pPr>
        <w:pStyle w:val="ListParagraph"/>
        <w:numPr>
          <w:ilvl w:val="0"/>
          <w:numId w:val="2"/>
        </w:numPr>
        <w:spacing w:after="60" w:line="276"/>
      </w:pPr>
      <w:r>
        <w:rPr>
          <w:rFonts w:ascii="Arial" w:cs="Arial" w:eastAsia="Arial" w:hAnsi="Arial"/>
          <w:sz w:val="22"/>
          <w:szCs w:val="22"/>
        </w:rPr>
        <w:t xml:space="preserve">Delegated signers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Function</w:t>
            </w:r>
          </w:p>
        </w:tc>
        <w:tc>
          <w:tcPr>
            <w:tcW w:type="dxa" w:w="616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Description</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fillLiquidationOrder</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Validates the order, verifies the signature, pulls USDC, records fill</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registerOrderSigner / revokeOrderSigner</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Authorizes a delegated key for the maker</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cancelOrder</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Cancels one order hash</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cancelPairBelowSalt</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Invalidates the maker's orders for a pair below a salt</w:t>
            </w:r>
          </w:p>
        </w:tc>
      </w:tr>
    </w:tbl>
    <w:p>
      <w:pPr>
        <w:spacing w:after="120"/>
      </w:pPr>
    </w:p>
    <w:p>
      <w:pPr>
        <w:spacing w:after="160" w:before="0" w:line="276"/>
      </w:pPr>
      <w:r>
        <w:rPr>
          <w:rFonts w:ascii="Arial" w:cs="Arial" w:eastAsia="Arial" w:hAnsi="Arial"/>
          <w:sz w:val="22"/>
          <w:szCs w:val="22"/>
        </w:rPr>
        <w:t xml:space="preserve">Makers grant an ERC-20 allowance to the settlement contract before fill. Custody remains with the wallet. The backend holds no keys.</w:t>
      </w:r>
    </w:p>
    <w:p>
      <w:pPr>
        <w:pStyle w:val="Heading2"/>
        <w:spacing w:after="120" w:before="260"/>
      </w:pPr>
      <w:bookmarkStart w:name="sec-3-2" w:id="18"/>
      <w:r>
        <w:rPr>
          <w:rFonts w:ascii="Arial" w:cs="Arial" w:eastAsia="Arial" w:hAnsi="Arial"/>
          <w:b/>
          <w:bCs/>
          <w:color w:val="1F4E79"/>
          <w:sz w:val="26"/>
          <w:szCs w:val="26"/>
        </w:rPr>
        <w:t xml:space="preserve">3.2 RFQ router</w:t>
      </w:r>
      <w:bookmarkEnd w:id="18"/>
    </w:p>
    <w:p>
      <w:pPr>
        <w:spacing w:after="160" w:before="0" w:line="276"/>
      </w:pPr>
      <w:r>
        <w:rPr>
          <w:rFonts w:ascii="Arial" w:cs="Arial" w:eastAsia="Arial" w:hAnsi="Arial"/>
          <w:sz w:val="22"/>
          <w:szCs w:val="22"/>
        </w:rPr>
        <w:t xml:space="preserve">Contract that binds one funding source to one allowlisted liquidation adapter and settles atomically. There is no on-chain quote() that re-ranks LPs. Ranking is off-chain so losing prices never hit the ledger. The router still enforces every settlement invariant.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Function</w:t>
            </w:r>
          </w:p>
        </w:tc>
        <w:tc>
          <w:tcPr>
            <w:tcW w:type="dxa" w:w="616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Description</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executeLiquidationRoute</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Winner submits. Pulls or funds USDC, calls typed liquidate, checks both min_out after one fee, reverts on any failed leg</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executeSwapRoute</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Reserved. Unexposed in v1</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Adapter allowlist / pause / fee</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Guardian and timelock</w:t>
            </w:r>
          </w:p>
        </w:tc>
      </w:tr>
    </w:tbl>
    <w:p>
      <w:pPr>
        <w:spacing w:after="120"/>
      </w:pPr>
    </w:p>
    <w:p>
      <w:pPr>
        <w:spacing w:after="160" w:before="0" w:line="276"/>
      </w:pPr>
      <w:r>
        <w:rPr>
          <w:rFonts w:ascii="Arial" w:cs="Arial" w:eastAsia="Arial" w:hAnsi="Arial"/>
          <w:b/>
          <w:bCs/>
          <w:sz w:val="22"/>
          <w:szCs w:val="22"/>
        </w:rPr>
        <w:t xml:space="preserve">Winner binding:</w:t>
      </w:r>
    </w:p>
    <w:p>
      <w:pPr>
        <w:pStyle w:val="ListParagraph"/>
        <w:numPr>
          <w:ilvl w:val="0"/>
          <w:numId w:val="2"/>
        </w:numPr>
        <w:spacing w:after="60" w:line="276"/>
      </w:pPr>
      <w:r>
        <w:rPr>
          <w:rFonts w:ascii="Arial" w:cs="Arial" w:eastAsia="Arial" w:hAnsi="Arial"/>
          <w:sz w:val="22"/>
          <w:szCs w:val="22"/>
        </w:rPr>
        <w:t xml:space="preserve">LP win: winner is the order maker. msg.sender must be that maker (or an ERC-1271 validator the maker is). recipient is the maker unless the order names another isAuthorized wallet. Funding source is settlement.</w:t>
      </w:r>
    </w:p>
    <w:p>
      <w:pPr>
        <w:pStyle w:val="ListParagraph"/>
        <w:numPr>
          <w:ilvl w:val="0"/>
          <w:numId w:val="2"/>
        </w:numPr>
        <w:spacing w:after="60" w:line="276"/>
      </w:pPr>
      <w:r>
        <w:rPr>
          <w:rFonts w:ascii="Arial" w:cs="Arial" w:eastAsia="Arial" w:hAnsi="Arial"/>
          <w:sz w:val="22"/>
          <w:szCs w:val="22"/>
        </w:rPr>
        <w:t xml:space="preserve">Facility win: winner is the facility executor. recipient is the facility. Funding source is LiquidityFacility.fundLiquidation. Keepers are not winner.</w:t>
      </w:r>
    </w:p>
    <w:p>
      <w:pPr>
        <w:pStyle w:val="Heading2"/>
        <w:spacing w:after="120" w:before="260"/>
      </w:pPr>
      <w:bookmarkStart w:name="sec-3-3" w:id="19"/>
      <w:r>
        <w:rPr>
          <w:rFonts w:ascii="Arial" w:cs="Arial" w:eastAsia="Arial" w:hAnsi="Arial"/>
          <w:b/>
          <w:bCs/>
          <w:color w:val="1F4E79"/>
          <w:sz w:val="26"/>
          <w:szCs w:val="26"/>
        </w:rPr>
        <w:t xml:space="preserve">3.3 Facility aggregator</w:t>
      </w:r>
      <w:bookmarkEnd w:id="19"/>
    </w:p>
    <w:p>
      <w:pPr>
        <w:spacing w:after="160" w:before="0" w:line="276"/>
      </w:pPr>
      <w:r>
        <w:rPr>
          <w:rFonts w:ascii="Arial" w:cs="Arial" w:eastAsia="Arial" w:hAnsi="Arial"/>
          <w:sz w:val="22"/>
          <w:szCs w:val="22"/>
        </w:rPr>
        <w:t xml:space="preserve">Contract that registers curated facilities and exposes USDC capacity quotes. A quote is capacity after haircut, not a purchase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Function</w:t>
            </w:r>
          </w:p>
        </w:tc>
        <w:tc>
          <w:tcPr>
            <w:tcW w:type="dxa" w:w="616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Description</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registerFacility</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Registers a facility with pause / revoke</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quote</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Returns each facility's quoteUsdc at the current block</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fill</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Forwards a fund request to the winning facility</w:t>
            </w:r>
          </w:p>
        </w:tc>
      </w:tr>
    </w:tbl>
    <w:p>
      <w:pPr>
        <w:pStyle w:val="Heading2"/>
        <w:spacing w:after="120" w:before="260"/>
      </w:pPr>
      <w:bookmarkStart w:name="sec-3-4" w:id="20"/>
      <w:r>
        <w:rPr>
          <w:rFonts w:ascii="Arial" w:cs="Arial" w:eastAsia="Arial" w:hAnsi="Arial"/>
          <w:b/>
          <w:bCs/>
          <w:color w:val="1F4E79"/>
          <w:sz w:val="26"/>
          <w:szCs w:val="26"/>
        </w:rPr>
        <w:t xml:space="preserve">3.4 Liquidity facility</w:t>
      </w:r>
      <w:bookmarkEnd w:id="20"/>
    </w:p>
    <w:p>
      <w:pPr>
        <w:spacing w:after="160" w:before="0" w:line="276"/>
      </w:pPr>
      <w:r>
        <w:rPr>
          <w:rFonts w:ascii="Arial" w:cs="Arial" w:eastAsia="Arial" w:hAnsi="Arial"/>
          <w:sz w:val="22"/>
          <w:szCs w:val="22"/>
        </w:rPr>
        <w:t xml:space="preserve">Curated ERC-4626 vault. Base asset is native USDC. v1 does not redeem B20 with an issuer and does not run a spot auction to sell inventory. USDC exits may queue while inventory is illiquid.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Function</w:t>
            </w:r>
          </w:p>
        </w:tc>
        <w:tc>
          <w:tcPr>
            <w:tcW w:type="dxa" w:w="616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Description</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deposit / withdraw</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ERC-4626 mint and burn at current NAV</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requestWithdraw / claimWithdraw</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FIFO queue when idle plus maxWithdraw cannot cover the redeem (SC-19)</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quoteUsdcCapacity</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withdrawable × (WAD − haircutWad) / WAD</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fundLiquidation</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Called on win: pulls USDC, router/adapter repay the venue, facility receives B20</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allocate / deallocate</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Deploy or recall USDC on allowlisted yield adapters</w:t>
            </w:r>
          </w:p>
        </w:tc>
      </w:tr>
    </w:tbl>
    <w:p>
      <w:pPr>
        <w:spacing w:after="120"/>
      </w:pPr>
    </w:p>
    <w:p>
      <w:pPr>
        <w:spacing w:after="160" w:before="0" w:line="276"/>
      </w:pPr>
      <w:r>
        <w:rPr>
          <w:rFonts w:ascii="Arial" w:cs="Arial" w:eastAsia="Arial" w:hAnsi="Arial"/>
          <w:b/>
          <w:bCs/>
          <w:sz w:val="22"/>
          <w:szCs w:val="22"/>
        </w:rPr>
        <w:t xml:space="preserve">NAV: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DDDDD" w:sz="4"/>
              <w:left w:val="single" w:color="1F4E79" w:sz="12"/>
              <w:bottom w:val="single" w:color="DDDDDD" w:sz="4"/>
              <w:right w:val="single" w:color="DDDDDD" w:sz="4"/>
            </w:tcBorders>
            <w:shd w:fill="F4F4F4" w:val="clear"/>
            <w:tcMar>
              <w:top w:type="dxa" w:w="80"/>
              <w:left w:type="dxa" w:w="120"/>
              <w:bottom w:type="dxa" w:w="80"/>
              <w:right w:type="dxa" w:w="120"/>
            </w:tcMar>
          </w:tcPr>
          <w:p>
            <w:pPr>
              <w:spacing w:after="0" w:line="240"/>
            </w:pPr>
            <w:r>
              <w:rPr>
                <w:rFonts w:ascii="Consolas" w:cs="Consolas" w:eastAsia="Consolas" w:hAnsi="Consolas"/>
                <w:sz w:val="16"/>
                <w:szCs w:val="16"/>
              </w:rPr>
              <w:t xml:space="preserve">NAV = idle USDC</w:t>
            </w:r>
          </w:p>
          <w:p>
            <w:pPr>
              <w:spacing w:after="0" w:line="240"/>
            </w:pPr>
            <w:r>
              <w:rPr>
                <w:rFonts w:ascii="Consolas" w:cs="Consolas" w:eastAsia="Consolas" w:hAnsi="Consolas"/>
                <w:sz w:val="16"/>
                <w:szCs w:val="16"/>
              </w:rPr>
              <w:t xml:space="preserve">    + sum(adapter.totalAssets)</w:t>
            </w:r>
          </w:p>
          <w:p>
            <w:pPr>
              <w:spacing w:after="0" w:line="240"/>
            </w:pPr>
            <w:r>
              <w:rPr>
                <w:rFonts w:ascii="Consolas" w:cs="Consolas" w:eastAsia="Consolas" w:hAnsi="Consolas"/>
                <w:sz w:val="16"/>
                <w:szCs w:val="16"/>
              </w:rPr>
              <w:t xml:space="preserve">    + inventory at acquisition cost</w:t>
            </w:r>
          </w:p>
          <w:p>
            <w:pPr>
              <w:spacing w:after="0" w:line="240"/>
            </w:pPr>
            <w:r>
              <w:rPr>
                <w:rFonts w:ascii="Consolas" w:cs="Consolas" w:eastAsia="Consolas" w:hAnsi="Consolas"/>
                <w:sz w:val="16"/>
                <w:szCs w:val="16"/>
              </w:rPr>
              <w:t xml:space="preserve">    - realized loss</w:t>
            </w:r>
          </w:p>
          <w:p>
            <w:pPr>
              <w:spacing w:after="0" w:line="240"/>
            </w:pPr>
            <w:r>
              <w:rPr>
                <w:rFonts w:ascii="Consolas" w:cs="Consolas" w:eastAsia="Consolas" w:hAnsi="Consolas"/>
                <w:sz w:val="16"/>
                <w:szCs w:val="16"/>
              </w:rPr>
              <w:t xml:space="preserve">    - reserved queue assets</w:t>
            </w:r>
          </w:p>
          <w:p>
            <w:pPr>
              <w:spacing w:after="0" w:line="240"/>
            </w:pPr>
            <w:r>
              <w:rPr>
                <w:rFonts w:ascii="Consolas" w:cs="Consolas" w:eastAsia="Consolas" w:hAnsi="Consolas"/>
                <w:sz w:val="16"/>
                <w:szCs w:val="16"/>
              </w:rPr>
              <w:t xml:space="preserve">sharePrice = NAV / totalShares</w:t>
            </w:r>
          </w:p>
        </w:tc>
      </w:tr>
    </w:tbl>
    <w:p>
      <w:pPr>
        <w:spacing w:after="120"/>
      </w:pPr>
    </w:p>
    <w:p>
      <w:pPr>
        <w:pStyle w:val="Heading2"/>
        <w:spacing w:after="120" w:before="260"/>
      </w:pPr>
      <w:bookmarkStart w:name="sec-3-5" w:id="21"/>
      <w:r>
        <w:rPr>
          <w:rFonts w:ascii="Arial" w:cs="Arial" w:eastAsia="Arial" w:hAnsi="Arial"/>
          <w:b/>
          <w:bCs/>
          <w:color w:val="1F4E79"/>
          <w:sz w:val="26"/>
          <w:szCs w:val="26"/>
        </w:rPr>
        <w:t xml:space="preserve">3.5 Adapters</w:t>
      </w:r>
      <w:bookmarkEnd w:id="21"/>
    </w:p>
    <w:p>
      <w:pPr>
        <w:spacing w:after="160" w:before="0" w:line="276"/>
      </w:pPr>
      <w:r>
        <w:rPr>
          <w:rFonts w:ascii="Arial" w:cs="Arial" w:eastAsia="Arial" w:hAnsi="Arial"/>
          <w:sz w:val="22"/>
          <w:szCs w:val="22"/>
        </w:rPr>
        <w:t xml:space="preserve">Thin contracts. Adding a protocol means adding an adapter and pinning its bytecode hash.</w:t>
      </w:r>
    </w:p>
    <w:p>
      <w:pPr>
        <w:pStyle w:val="ListParagraph"/>
        <w:numPr>
          <w:ilvl w:val="0"/>
          <w:numId w:val="2"/>
        </w:numPr>
        <w:spacing w:after="60" w:line="276"/>
      </w:pPr>
      <w:r>
        <w:rPr>
          <w:rFonts w:ascii="Arial" w:cs="Arial" w:eastAsia="Arial" w:hAnsi="Arial"/>
          <w:b/>
          <w:bCs/>
          <w:sz w:val="22"/>
          <w:szCs w:val="22"/>
        </w:rPr>
        <w:t xml:space="preserve">Yield (IFacilityAdapter): </w:t>
      </w:r>
      <w:r>
        <w:rPr>
          <w:rFonts w:ascii="Arial" w:cs="Arial" w:eastAsia="Arial" w:hAnsi="Arial"/>
          <w:sz w:val="22"/>
          <w:szCs w:val="22"/>
        </w:rPr>
        <w:t xml:space="preserve">asset, deposit, withdraw, totalAssets, maxWithdraw.</w:t>
      </w:r>
    </w:p>
    <w:p>
      <w:pPr>
        <w:pStyle w:val="ListParagraph"/>
        <w:numPr>
          <w:ilvl w:val="0"/>
          <w:numId w:val="2"/>
        </w:numPr>
        <w:spacing w:after="60" w:line="276"/>
      </w:pPr>
      <w:r>
        <w:rPr>
          <w:rFonts w:ascii="Arial" w:cs="Arial" w:eastAsia="Arial" w:hAnsi="Arial"/>
          <w:b/>
          <w:bCs/>
          <w:sz w:val="22"/>
          <w:szCs w:val="22"/>
        </w:rPr>
        <w:t xml:space="preserve">Liquidation (ILiquidationAdapter): </w:t>
      </w:r>
      <w:r>
        <w:rPr>
          <w:rFonts w:ascii="Arial" w:cs="Arial" w:eastAsia="Arial" w:hAnsi="Arial"/>
          <w:sz w:val="22"/>
          <w:szCs w:val="22"/>
        </w:rPr>
        <w:t xml:space="preserve">typed Request (market, borrower, debt, collateral, max repay, min collateral, recipient) and liquidate. Official venue liquidate only. No rebate of leftover collateral in v1. No arbitrary calldata.</w:t>
      </w:r>
    </w:p>
    <w:p>
      <w:pPr>
        <w:spacing w:after="160" w:before="0" w:line="276"/>
      </w:pPr>
      <w:r>
        <w:rPr>
          <w:rFonts w:ascii="Arial" w:cs="Arial" w:eastAsia="Arial" w:hAnsi="Arial"/>
          <w:sz w:val="22"/>
          <w:szCs w:val="22"/>
        </w:rPr>
        <w:t xml:space="preserve">v1 venues: Aave, Morpho, Euler. Aerodrome is not an adapter; the ranker reads it off-chain.</w:t>
      </w:r>
    </w:p>
    <w:p>
      <w:pPr>
        <w:pStyle w:val="Heading2"/>
        <w:spacing w:after="120" w:before="260"/>
      </w:pPr>
      <w:bookmarkStart w:name="sec-3-6" w:id="22"/>
      <w:r>
        <w:rPr>
          <w:rFonts w:ascii="Arial" w:cs="Arial" w:eastAsia="Arial" w:hAnsi="Arial"/>
          <w:b/>
          <w:bCs/>
          <w:color w:val="1F4E79"/>
          <w:sz w:val="26"/>
          <w:szCs w:val="26"/>
        </w:rPr>
        <w:t xml:space="preserve">3.6 Oracle and B20 guards</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cantSplit/>
          <w:tblHeader/>
        </w:trPr>
        <w:tc>
          <w:tcPr>
            <w:tcW w:type="dxa" w:w="22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Guard</w:t>
            </w:r>
          </w:p>
        </w:tc>
        <w:tc>
          <w:tcPr>
            <w:tcW w:type="dxa" w:w="358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Reads</w:t>
            </w:r>
          </w:p>
        </w:tc>
        <w:tc>
          <w:tcPr>
            <w:tcW w:type="dxa" w:w="358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Fail closed when</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OracleGuard</w:t>
            </w:r>
          </w:p>
        </w:tc>
        <w:tc>
          <w:tcPr>
            <w:tcW w:type="dxa" w:w="35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Chainlink AggregatorV3 (8-decimal total-return), Coinbase onchain oracle-registry pause, Base sequencer uptime feed</w:t>
            </w:r>
          </w:p>
        </w:tc>
        <w:tc>
          <w:tcPr>
            <w:tcW w:type="dxa" w:w="35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Stale heartbeat, paused registry, sequencer answer 1, or inside the configured grace after sequencer recovery</w:t>
            </w:r>
          </w:p>
        </w:tc>
      </w:tr>
      <w:tr>
        <w:trPr>
          <w:cantSplit/>
        </w:trPr>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B20Guard</w:t>
            </w:r>
          </w:p>
        </w:tc>
        <w:tc>
          <w:tcPr>
            <w:tcW w:type="dxa" w:w="358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isAuthorized, TRANSFER/SEIZE pause bits, WAD multiplier</w:t>
            </w:r>
          </w:p>
        </w:tc>
        <w:tc>
          <w:tcPr>
            <w:tcW w:type="dxa" w:w="358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Unauthorized account, TRANSFER or SEIZE paused</w:t>
            </w:r>
          </w:p>
        </w:tc>
      </w:tr>
    </w:tbl>
    <w:p>
      <w:pPr>
        <w:spacing w:after="120"/>
      </w:pPr>
    </w:p>
    <w:p>
      <w:pPr>
        <w:spacing w:after="160" w:before="0" w:line="276"/>
      </w:pPr>
      <w:r>
        <w:rPr>
          <w:rFonts w:ascii="Arial" w:cs="Arial" w:eastAsia="Arial" w:hAnsi="Arial"/>
          <w:sz w:val="22"/>
          <w:szCs w:val="22"/>
        </w:rPr>
        <w:t xml:space="preserve">MINT/BURN pause does not by itself block liquidation. This desk never mints or burns. The router does not recompute venue health factor. A healthy position reverts at liquidate.</w:t>
      </w:r>
    </w:p>
    <w:p>
      <w:pPr>
        <w:pStyle w:val="Heading1"/>
        <w:pBdr>
          <w:bottom w:val="single" w:color="1F4E79" w:sz="8" w:space="4"/>
        </w:pBdr>
        <w:spacing w:after="160" w:before="320"/>
      </w:pPr>
      <w:bookmarkStart w:name="sec-4" w:id="23"/>
      <w:r>
        <w:rPr>
          <w:rFonts w:ascii="Arial" w:cs="Arial" w:eastAsia="Arial" w:hAnsi="Arial"/>
          <w:b/>
          <w:bCs/>
          <w:color w:val="1F4E79"/>
          <w:sz w:val="32"/>
          <w:szCs w:val="32"/>
        </w:rPr>
        <w:t xml:space="preserve">4. Protocol flows</w:t>
      </w:r>
      <w:bookmarkEnd w:id="23"/>
    </w:p>
    <w:p>
      <w:pPr>
        <w:pStyle w:val="Heading2"/>
        <w:spacing w:after="120" w:before="260"/>
      </w:pPr>
      <w:bookmarkStart w:name="sec-4-1" w:id="24"/>
      <w:r>
        <w:rPr>
          <w:rFonts w:ascii="Arial" w:cs="Arial" w:eastAsia="Arial" w:hAnsi="Arial"/>
          <w:b/>
          <w:bCs/>
          <w:color w:val="1F4E79"/>
          <w:sz w:val="26"/>
          <w:szCs w:val="26"/>
        </w:rPr>
        <w:t xml:space="preserve">4.1 An off-chain LP wins a liquidation</w:t>
      </w:r>
      <w:bookmarkEnd w:id="24"/>
    </w:p>
    <w:p>
      <w:pPr>
        <w:spacing w:after="160" w:before="0" w:line="276"/>
      </w:pPr>
      <w:r>
        <w:rPr>
          <w:rFonts w:ascii="Arial" w:cs="Arial" w:eastAsia="Arial" w:hAnsi="Arial"/>
          <w:sz w:val="22"/>
          <w:szCs w:val="22"/>
        </w:rPr>
        <w:t xml:space="preserve">Figure 3 is the LP-won sequence. Ranking is an internal worker. The winner fetches unsigned calldata; keepers never submit.</w:t>
      </w:r>
    </w:p>
    <w:p>
      <w:pPr>
        <w:sectPr>
          <w:headerReference w:type="default" r:id="rId15"/>
          <w:footerReference w:type="default" r:id="rId16"/>
          <w:pgSz w:w="12240" w:h="15840" w:orient="portrait"/>
          <w:pgMar w:top="1440" w:right="1440" w:bottom="1440" w:left="1440" w:header="708" w:footer="708" w:gutter="0"/>
          <w:pgNumType/>
          <w:docGrid w:linePitch="360"/>
        </w:sectPr>
      </w:pPr>
    </w:p>
    <w:p>
      <w:pPr>
        <w:spacing w:after="40" w:before="80"/>
        <w:jc w:val="center"/>
      </w:pPr>
      <w:r>
        <w:drawing>
          <wp:inline distT="0" distB="0" distL="0" distR="0">
            <wp:extent cx="8410575" cy="5715000"/>
            <wp:effectExtent t="0" r="0" b="0" l="0"/>
            <wp:docPr id="1" name="LP-won sequence" descr="Thirteen-step sequence from public RFQ through internal rank, winner-only unsigned route, and atomic settle." title="Figure 3. LP-won liquid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8410575" cy="5715000"/>
                    </a:xfrm>
                    <a:prstGeom prst="rect">
                      <a:avLst/>
                    </a:prstGeom>
                  </pic:spPr>
                </pic:pic>
              </a:graphicData>
            </a:graphic>
          </wp:inline>
        </w:drawing>
      </w:r>
    </w:p>
    <w:p>
      <w:pPr>
        <w:spacing w:after="80" w:before="80"/>
        <w:jc w:val="center"/>
      </w:pPr>
      <w:bookmarkStart w:name="fig-3" w:id="68"/>
      <w:r>
        <w:rPr>
          <w:rFonts w:ascii="Arial" w:cs="Arial" w:eastAsia="Arial" w:hAnsi="Arial"/>
          <w:i/>
          <w:iCs/>
          <w:color w:val="595959"/>
          <w:sz w:val="18"/>
          <w:szCs w:val="18"/>
        </w:rPr>
        <w:t xml:space="preserve">Figure 3. LP-won liquidation. Dashed: notify / return. Non-winners receive UNAUTHORIZED and no calldata. Solidity does not re-rank.</w:t>
      </w:r>
      <w:bookmarkEnd w:id="68"/>
    </w:p>
    <w:p>
      <w:pPr>
        <w:sectPr>
          <w:headerReference w:type="default" r:id="rId17"/>
          <w:footerReference w:type="default" r:id="rId18"/>
          <w:pgSz w:w="15840" w:h="12240" w:orient="landscape"/>
          <w:pgMar w:top="864" w:right="864" w:bottom="864" w:left="864" w:header="708" w:footer="708" w:gutter="0"/>
          <w:pgNumType/>
          <w:docGrid w:linePitch="360"/>
        </w:sectPr>
      </w:pPr>
    </w:p>
    <w:p>
      <w:pPr>
        <w:pStyle w:val="Heading2"/>
        <w:spacing w:after="80" w:before="0"/>
      </w:pPr>
      <w:bookmarkStart w:name="sec-4-2" w:id="25"/>
      <w:r>
        <w:rPr>
          <w:rFonts w:ascii="Arial" w:cs="Arial" w:eastAsia="Arial" w:hAnsi="Arial"/>
          <w:b/>
          <w:bCs/>
          <w:color w:val="1F4E79"/>
          <w:sz w:val="26"/>
          <w:szCs w:val="26"/>
        </w:rPr>
        <w:t xml:space="preserve">4.2 A curated facility wins</w:t>
      </w:r>
      <w:bookmarkEnd w:id="25"/>
    </w:p>
    <w:p>
      <w:pPr>
        <w:spacing w:after="160" w:before="0" w:line="276"/>
      </w:pPr>
      <w:r>
        <w:rPr>
          <w:rFonts w:ascii="Arial" w:cs="Arial" w:eastAsia="Arial" w:hAnsi="Arial"/>
          <w:sz w:val="22"/>
          <w:szCs w:val="22"/>
        </w:rPr>
        <w:t xml:space="preserve">Same ranking channel as 4.1. Winner is the facility executor (curator EOA or bound ERC-1271). fundLiquidation supplies USDC from idle plus adapters. Recipient is the facility; B20 is booked as inventory at acquisition cost. Keepers do not sign.</w:t>
      </w:r>
    </w:p>
    <w:p>
      <w:pPr>
        <w:spacing w:after="40" w:before="80"/>
        <w:jc w:val="center"/>
      </w:pPr>
      <w:r>
        <w:drawing>
          <wp:inline distT="0" distB="0" distL="0" distR="0">
            <wp:extent cx="7058025" cy="4762500"/>
            <wp:effectExtent t="0" r="0" b="0" l="0"/>
            <wp:docPr id="1" name="Facility-won sequence" descr="Facility executor submits. fundLiquidation supplies USDC. Facility receives B20 inventory at acquisition cost." title="Figure 4. Facility-won liquid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7058025" cy="4762500"/>
                    </a:xfrm>
                    <a:prstGeom prst="rect">
                      <a:avLst/>
                    </a:prstGeom>
                  </pic:spPr>
                </pic:pic>
              </a:graphicData>
            </a:graphic>
          </wp:inline>
        </w:drawing>
      </w:r>
    </w:p>
    <w:p>
      <w:pPr>
        <w:spacing w:after="80" w:before="80"/>
        <w:jc w:val="center"/>
      </w:pPr>
      <w:bookmarkStart w:name="fig-4" w:id="69"/>
      <w:r>
        <w:rPr>
          <w:rFonts w:ascii="Arial" w:cs="Arial" w:eastAsia="Arial" w:hAnsi="Arial"/>
          <w:i/>
          <w:iCs/>
          <w:color w:val="595959"/>
          <w:sz w:val="18"/>
          <w:szCs w:val="18"/>
        </w:rPr>
        <w:t xml:space="preserve">Figure 4. Facility-won liquidation. fundLiquidation supplies USDC from idle plus adapters. Recipient is the facility. B20 is booked as inventory at acquisition cost.</w:t>
      </w:r>
      <w:bookmarkEnd w:id="69"/>
    </w:p>
    <w:p>
      <w:pPr>
        <w:sectPr>
          <w:headerReference w:type="default" r:id="rId19"/>
          <w:footerReference w:type="default" r:id="rId20"/>
          <w:pgSz w:w="15840" w:h="12240" w:orient="landscape"/>
          <w:pgMar w:top="864" w:right="864" w:bottom="864" w:left="864" w:header="708" w:footer="708" w:gutter="0"/>
          <w:pgNumType/>
          <w:docGrid w:linePitch="360"/>
        </w:sectPr>
      </w:pPr>
    </w:p>
    <w:p>
      <w:pPr>
        <w:pStyle w:val="Heading2"/>
        <w:spacing w:after="80" w:before="0"/>
      </w:pPr>
      <w:bookmarkStart w:name="sec-4-3" w:id="26"/>
      <w:r>
        <w:rPr>
          <w:rFonts w:ascii="Arial" w:cs="Arial" w:eastAsia="Arial" w:hAnsi="Arial"/>
          <w:b/>
          <w:bCs/>
          <w:color w:val="1F4E79"/>
          <w:sz w:val="26"/>
          <w:szCs w:val="26"/>
        </w:rPr>
        <w:t xml:space="preserve">4.3 Facility deposit and withdrawal</w:t>
      </w:r>
      <w:bookmarkEnd w:id="26"/>
    </w:p>
    <w:p>
      <w:pPr>
        <w:spacing w:after="160" w:before="0" w:line="276"/>
      </w:pPr>
      <w:r>
        <w:rPr>
          <w:rFonts w:ascii="Arial" w:cs="Arial" w:eastAsia="Arial" w:hAnsi="Arial"/>
          <w:sz w:val="22"/>
          <w:szCs w:val="22"/>
        </w:rPr>
        <w:t xml:space="preserve">Figure 5 is the depositor path. Haircut discounts quoteUsdc only; it does not change depositor NAV.</w:t>
      </w:r>
    </w:p>
    <w:p>
      <w:pPr>
        <w:spacing w:after="40" w:before="80"/>
        <w:jc w:val="center"/>
      </w:pPr>
      <w:r>
        <w:drawing>
          <wp:inline distT="0" distB="0" distL="0" distR="0">
            <wp:extent cx="8953500" cy="4343400"/>
            <wp:effectExtent t="0" r="0" b="0" l="0"/>
            <wp:docPr id="1" name="Facility deposit and FIFO withdraw" descr="Deposit mints shares at NAV. Synchronous withdraw when liquid; otherwise FIFO requestWithdraw, deallocate, claimWithdraw." title="Figure 5. Facility deposit, withdraw, and FIFO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8953500" cy="4343400"/>
                    </a:xfrm>
                    <a:prstGeom prst="rect">
                      <a:avLst/>
                    </a:prstGeom>
                  </pic:spPr>
                </pic:pic>
              </a:graphicData>
            </a:graphic>
          </wp:inline>
        </w:drawing>
      </w:r>
    </w:p>
    <w:p>
      <w:pPr>
        <w:spacing w:after="80" w:before="80"/>
        <w:jc w:val="center"/>
      </w:pPr>
      <w:bookmarkStart w:name="fig-5" w:id="70"/>
      <w:r>
        <w:rPr>
          <w:rFonts w:ascii="Arial" w:cs="Arial" w:eastAsia="Arial" w:hAnsi="Arial"/>
          <w:i/>
          <w:iCs/>
          <w:color w:val="595959"/>
          <w:sz w:val="18"/>
          <w:szCs w:val="18"/>
        </w:rPr>
        <w:t xml:space="preserve">Figure 5. Facility deposit and FIFO withdraw. Synchronous redeem when idle plus maxWithdraw covers the request; otherwise requestWithdraw queues, deallocate settles in order, claimWithdraw pays USDC.</w:t>
      </w:r>
      <w:bookmarkEnd w:id="70"/>
    </w:p>
    <w:p>
      <w:pPr>
        <w:sectPr>
          <w:headerReference w:type="default" r:id="rId21"/>
          <w:footerReference w:type="default" r:id="rId22"/>
          <w:pgSz w:w="15840" w:h="12240" w:orient="landscape"/>
          <w:pgMar w:top="864" w:right="864" w:bottom="864" w:left="864" w:header="708" w:footer="708" w:gutter="0"/>
          <w:pgNumType/>
          <w:docGrid w:linePitch="360"/>
        </w:sectPr>
      </w:pPr>
    </w:p>
    <w:p>
      <w:pPr>
        <w:spacing w:after="160" w:before="0" w:line="276"/>
      </w:pPr>
      <w:r>
        <w:rPr>
          <w:rFonts w:ascii="Arial" w:cs="Arial" w:eastAsia="Arial" w:hAnsi="Arial"/>
          <w:b/>
          <w:bCs/>
          <w:sz w:val="22"/>
          <w:szCs w:val="22"/>
        </w:rPr>
        <w:t xml:space="preserve">Deposit. </w:t>
      </w:r>
      <w:r>
        <w:rPr>
          <w:rFonts w:ascii="Arial" w:cs="Arial" w:eastAsia="Arial" w:hAnsi="Arial"/>
          <w:sz w:val="22"/>
          <w:szCs w:val="22"/>
        </w:rPr>
        <w:t xml:space="preserve">Depositor approves USDC and calls deposit. Facility mints shares at current NAV. Curator may allocate to allowlisted yield adapters.</w:t>
      </w:r>
    </w:p>
    <w:p>
      <w:pPr>
        <w:spacing w:after="160" w:before="0" w:line="276"/>
      </w:pPr>
      <w:r>
        <w:rPr>
          <w:rFonts w:ascii="Arial" w:cs="Arial" w:eastAsia="Arial" w:hAnsi="Arial"/>
          <w:b/>
          <w:bCs/>
          <w:sz w:val="22"/>
          <w:szCs w:val="22"/>
        </w:rPr>
        <w:t xml:space="preserve">Synchronous withdraw. </w:t>
      </w:r>
      <w:r>
        <w:rPr>
          <w:rFonts w:ascii="Arial" w:cs="Arial" w:eastAsia="Arial" w:hAnsi="Arial"/>
          <w:sz w:val="22"/>
          <w:szCs w:val="22"/>
        </w:rPr>
        <w:t xml:space="preserve">If idle USDC plus adapter maxWithdraw covers the redeem, burn shares and pay USDC at NAV.</w:t>
      </w:r>
    </w:p>
    <w:p>
      <w:pPr>
        <w:spacing w:after="160" w:before="0" w:line="276"/>
      </w:pPr>
      <w:r>
        <w:rPr>
          <w:rFonts w:ascii="Arial" w:cs="Arial" w:eastAsia="Arial" w:hAnsi="Arial"/>
          <w:b/>
          <w:bCs/>
          <w:sz w:val="22"/>
          <w:szCs w:val="22"/>
        </w:rPr>
        <w:t xml:space="preserve">Queued withdraw. </w:t>
      </w:r>
      <w:r>
        <w:rPr>
          <w:rFonts w:ascii="Arial" w:cs="Arial" w:eastAsia="Arial" w:hAnsi="Arial"/>
          <w:sz w:val="22"/>
          <w:szCs w:val="22"/>
        </w:rPr>
        <w:t xml:space="preserve">Otherwise requestWithdraw locks shares in a FIFO queue. Later deallocate settles requests in order. The vault never pretends illiquid allocations are instantly redeemable.</w:t>
      </w:r>
    </w:p>
    <w:p>
      <w:pPr>
        <w:pStyle w:val="Heading2"/>
        <w:spacing w:after="120" w:before="260"/>
      </w:pPr>
      <w:bookmarkStart w:name="sec-4-4" w:id="27"/>
      <w:r>
        <w:rPr>
          <w:rFonts w:ascii="Arial" w:cs="Arial" w:eastAsia="Arial" w:hAnsi="Arial"/>
          <w:b/>
          <w:bCs/>
          <w:color w:val="1F4E79"/>
          <w:sz w:val="26"/>
          <w:szCs w:val="26"/>
        </w:rPr>
        <w:t xml:space="preserve">4.4 Ranking rules (operating model)</w:t>
      </w:r>
      <w:bookmarkEnd w:id="27"/>
    </w:p>
    <w:p>
      <w:pPr>
        <w:spacing w:after="160" w:before="0" w:line="276"/>
      </w:pPr>
      <w:r>
        <w:rPr>
          <w:rFonts w:ascii="Arial" w:cs="Arial" w:eastAsia="Arial" w:hAnsi="Arial"/>
          <w:sz w:val="22"/>
          <w:szCs w:val="22"/>
        </w:rPr>
        <w:t xml:space="preserve">A source is eligible only if all of the following hold:</w:t>
      </w:r>
    </w:p>
    <w:p>
      <w:pPr>
        <w:pStyle w:val="ListParagraph"/>
        <w:numPr>
          <w:ilvl w:val="0"/>
          <w:numId w:val="2"/>
        </w:numPr>
        <w:spacing w:after="60" w:line="276"/>
      </w:pPr>
      <w:r>
        <w:rPr>
          <w:rFonts w:ascii="Arial" w:cs="Arial" w:eastAsia="Arial" w:hAnsi="Arial"/>
          <w:sz w:val="22"/>
          <w:szCs w:val="22"/>
        </w:rPr>
        <w:t xml:space="preserve">Unexpired, remaining capacity ≥ published repayAssets (FOK at that size)</w:t>
      </w:r>
    </w:p>
    <w:p>
      <w:pPr>
        <w:pStyle w:val="ListParagraph"/>
        <w:numPr>
          <w:ilvl w:val="0"/>
          <w:numId w:val="2"/>
        </w:numPr>
        <w:spacing w:after="60" w:line="276"/>
      </w:pPr>
      <w:r>
        <w:rPr>
          <w:rFonts w:ascii="Arial" w:cs="Arial" w:eastAsia="Arial" w:hAnsi="Arial"/>
          <w:sz w:val="22"/>
          <w:szCs w:val="22"/>
        </w:rPr>
        <w:t xml:space="preserve">debtAsset is native USDC and collateralAsset is the RFQ B20 token</w:t>
      </w:r>
    </w:p>
    <w:p>
      <w:pPr>
        <w:pStyle w:val="ListParagraph"/>
        <w:numPr>
          <w:ilvl w:val="0"/>
          <w:numId w:val="2"/>
        </w:numPr>
        <w:spacing w:after="60" w:line="276"/>
      </w:pPr>
      <w:r>
        <w:rPr>
          <w:rFonts w:ascii="Arial" w:cs="Arial" w:eastAsia="Arial" w:hAnsi="Arial"/>
          <w:sz w:val="22"/>
          <w:szCs w:val="22"/>
        </w:rPr>
        <w:t xml:space="preserve">Predicted net ≥ RFQ minCollateralOut and ≥ funder minCollateralOut</w:t>
      </w:r>
    </w:p>
    <w:p>
      <w:pPr>
        <w:pStyle w:val="ListParagraph"/>
        <w:numPr>
          <w:ilvl w:val="0"/>
          <w:numId w:val="2"/>
        </w:numPr>
        <w:spacing w:after="60" w:line="276"/>
      </w:pPr>
      <w:r>
        <w:rPr>
          <w:rFonts w:ascii="Arial" w:cs="Arial" w:eastAsia="Arial" w:hAnsi="Arial"/>
          <w:sz w:val="22"/>
          <w:szCs w:val="22"/>
        </w:rPr>
        <w:t xml:space="preserve">Predicted gross ≤ Aerodrome-implied collateral for the same repay</w:t>
      </w:r>
    </w:p>
    <w:p>
      <w:pPr>
        <w:pStyle w:val="ListParagraph"/>
        <w:numPr>
          <w:ilvl w:val="0"/>
          <w:numId w:val="2"/>
        </w:numPr>
        <w:spacing w:after="60" w:line="276"/>
      </w:pPr>
      <w:r>
        <w:rPr>
          <w:rFonts w:ascii="Arial" w:cs="Arial" w:eastAsia="Arial" w:hAnsi="Arial"/>
          <w:sz w:val="22"/>
          <w:szCs w:val="22"/>
        </w:rPr>
        <w:t xml:space="preserve">Aerodrome quote present and fresh; otherwise FLOOR_NOT_MET</w:t>
      </w:r>
    </w:p>
    <w:p>
      <w:pPr>
        <w:pStyle w:val="ListParagraph"/>
        <w:numPr>
          <w:ilvl w:val="0"/>
          <w:numId w:val="2"/>
        </w:numPr>
        <w:spacing w:after="60" w:line="276"/>
      </w:pPr>
      <w:r>
        <w:rPr>
          <w:rFonts w:ascii="Arial" w:cs="Arial" w:eastAsia="Arial" w:hAnsi="Arial"/>
          <w:sz w:val="22"/>
          <w:szCs w:val="22"/>
        </w:rPr>
        <w:t xml:space="preserve">Oracle, sequencer, B20 TRANSFER/SEIZE, and recipient isAuthorized pass</w:t>
      </w:r>
    </w:p>
    <w:p>
      <w:pPr>
        <w:spacing w:after="160" w:before="0" w:line="276"/>
      </w:pPr>
      <w:r>
        <w:rPr>
          <w:rFonts w:ascii="Arial" w:cs="Arial" w:eastAsia="Arial" w:hAnsi="Arial"/>
          <w:sz w:val="22"/>
          <w:szCs w:val="22"/>
        </w:rPr>
        <w:t xml:space="preserve">Rank key among eligible sources:</w:t>
      </w:r>
    </w:p>
    <w:p>
      <w:pPr>
        <w:pStyle w:val="ListParagraph"/>
        <w:numPr>
          <w:ilvl w:val="0"/>
          <w:numId w:val="5"/>
        </w:numPr>
        <w:spacing w:after="80" w:line="276"/>
      </w:pPr>
      <w:r>
        <w:rPr>
          <w:rFonts w:ascii="Arial" w:cs="Arial" w:eastAsia="Arial" w:hAnsi="Arial"/>
          <w:sz w:val="22"/>
          <w:szCs w:val="22"/>
        </w:rPr>
        <w:t xml:space="preserve">Lower predicted gross collateral</w:t>
      </w:r>
    </w:p>
    <w:p>
      <w:pPr>
        <w:pStyle w:val="ListParagraph"/>
        <w:numPr>
          <w:ilvl w:val="0"/>
          <w:numId w:val="5"/>
        </w:numPr>
        <w:spacing w:after="80" w:line="276"/>
      </w:pPr>
      <w:r>
        <w:rPr>
          <w:rFonts w:ascii="Arial" w:cs="Arial" w:eastAsia="Arial" w:hAnsi="Arial"/>
          <w:sz w:val="22"/>
          <w:szCs w:val="22"/>
        </w:rPr>
        <w:t xml:space="preserve">Earlier bid timestamp (facility quotes use the quote-snapshot block timestamp)</w:t>
      </w:r>
    </w:p>
    <w:p>
      <w:pPr>
        <w:pStyle w:val="ListParagraph"/>
        <w:numPr>
          <w:ilvl w:val="0"/>
          <w:numId w:val="5"/>
        </w:numPr>
        <w:spacing w:after="80" w:line="276"/>
      </w:pPr>
      <w:r>
        <w:rPr>
          <w:rFonts w:ascii="Arial" w:cs="Arial" w:eastAsia="Arial" w:hAnsi="Arial"/>
          <w:sz w:val="22"/>
          <w:szCs w:val="22"/>
        </w:rPr>
        <w:t xml:space="preserve">Lower order hash (facility quote id hashed with facility address)</w:t>
      </w:r>
    </w:p>
    <w:p>
      <w:pPr>
        <w:spacing w:after="160" w:before="0" w:line="276"/>
      </w:pPr>
      <w:r>
        <w:rPr>
          <w:rFonts w:ascii="Arial" w:cs="Arial" w:eastAsia="Arial" w:hAnsi="Arial"/>
          <w:sz w:val="22"/>
          <w:szCs w:val="22"/>
        </w:rPr>
        <w:t xml:space="preserve">Under venue-fixed seize the first key ties, so timestamp and hash decide. Solidity does not re-run this comparator. Haircut is USDC capacity only; it does not change seize.</w:t>
      </w:r>
    </w:p>
    <w:p>
      <w:pPr>
        <w:pStyle w:val="Heading1"/>
        <w:pBdr>
          <w:bottom w:val="single" w:color="1F4E79" w:sz="8" w:space="4"/>
        </w:pBdr>
        <w:spacing w:after="160" w:before="320"/>
      </w:pPr>
      <w:bookmarkStart w:name="sec-5" w:id="28"/>
      <w:r>
        <w:rPr>
          <w:rFonts w:ascii="Arial" w:cs="Arial" w:eastAsia="Arial" w:hAnsi="Arial"/>
          <w:b/>
          <w:bCs/>
          <w:color w:val="1F4E79"/>
          <w:sz w:val="32"/>
          <w:szCs w:val="32"/>
        </w:rPr>
        <w:t xml:space="preserve">5. Technology stack</w:t>
      </w:r>
      <w:bookmarkEnd w:id="28"/>
    </w:p>
    <w:p>
      <w:pPr>
        <w:pStyle w:val="Heading2"/>
        <w:spacing w:after="120" w:before="260"/>
      </w:pPr>
      <w:bookmarkStart w:name="sec-5-1" w:id="29"/>
      <w:r>
        <w:rPr>
          <w:rFonts w:ascii="Arial" w:cs="Arial" w:eastAsia="Arial" w:hAnsi="Arial"/>
          <w:b/>
          <w:bCs/>
          <w:color w:val="1F4E79"/>
          <w:sz w:val="26"/>
          <w:szCs w:val="26"/>
        </w:rPr>
        <w:t xml:space="preserve">5.1 Smart contracts (Base EVM)</w:t>
      </w:r>
      <w:bookmarkEnd w:id="2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cantSplit/>
          <w:tblHeader/>
        </w:trPr>
        <w:tc>
          <w:tcPr>
            <w:tcW w:type="dxa" w:w="22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Contract</w:t>
            </w:r>
          </w:p>
        </w:tc>
        <w:tc>
          <w:tcPr>
            <w:tcW w:type="dxa" w:w="358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Role</w:t>
            </w:r>
          </w:p>
        </w:tc>
        <w:tc>
          <w:tcPr>
            <w:tcW w:type="dxa" w:w="358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Notes</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Settlement</w:t>
            </w:r>
          </w:p>
        </w:tc>
        <w:tc>
          <w:tcPr>
            <w:tcW w:type="dxa" w:w="35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EIP-712 LP orders, USDC pull</w:t>
            </w:r>
          </w:p>
        </w:tc>
        <w:tc>
          <w:tcPr>
            <w:tcW w:type="dxa" w:w="35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EOA + ERC-1271</w:t>
            </w:r>
          </w:p>
        </w:tc>
      </w:tr>
      <w:tr>
        <w:trPr>
          <w:cantSplit/>
        </w:trPr>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RFQ Router</w:t>
            </w:r>
          </w:p>
        </w:tc>
        <w:tc>
          <w:tcPr>
            <w:tcW w:type="dxa" w:w="358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Atomic liquidation route, fee, winner binding</w:t>
            </w:r>
          </w:p>
        </w:tc>
        <w:tc>
          <w:tcPr>
            <w:tcW w:type="dxa" w:w="358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Reentrancy guard; no quote()</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Facility Aggregator</w:t>
            </w:r>
          </w:p>
        </w:tc>
        <w:tc>
          <w:tcPr>
            <w:tcW w:type="dxa" w:w="35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Facility registry and capacity quotes</w:t>
            </w:r>
          </w:p>
        </w:tc>
        <w:tc>
          <w:tcPr>
            <w:tcW w:type="dxa" w:w="35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Pause / revoke</w:t>
            </w:r>
          </w:p>
        </w:tc>
      </w:tr>
      <w:tr>
        <w:trPr>
          <w:cantSplit/>
        </w:trPr>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Liquidity Facility</w:t>
            </w:r>
          </w:p>
        </w:tc>
        <w:tc>
          <w:tcPr>
            <w:tcW w:type="dxa" w:w="358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ERC-4626, queue, allocate, fund</w:t>
            </w:r>
          </w:p>
        </w:tc>
        <w:tc>
          <w:tcPr>
            <w:tcW w:type="dxa" w:w="358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Isolated per vault</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Yield adapters</w:t>
            </w:r>
          </w:p>
        </w:tc>
        <w:tc>
          <w:tcPr>
            <w:tcW w:type="dxa" w:w="35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Aave, Morpho, Euler</w:t>
            </w:r>
          </w:p>
        </w:tc>
        <w:tc>
          <w:tcPr>
            <w:tcW w:type="dxa" w:w="35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IFacilityAdapter</w:t>
            </w:r>
          </w:p>
        </w:tc>
      </w:tr>
      <w:tr>
        <w:trPr>
          <w:cantSplit/>
        </w:trPr>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Liquidation adapters</w:t>
            </w:r>
          </w:p>
        </w:tc>
        <w:tc>
          <w:tcPr>
            <w:tcW w:type="dxa" w:w="358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Aave, Morpho, Euler</w:t>
            </w:r>
          </w:p>
        </w:tc>
        <w:tc>
          <w:tcPr>
            <w:tcW w:type="dxa" w:w="358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Typed Request</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OracleGuard / B20Guard</w:t>
            </w:r>
          </w:p>
        </w:tc>
        <w:tc>
          <w:tcPr>
            <w:tcW w:type="dxa" w:w="35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Fail-closed reads</w:t>
            </w:r>
          </w:p>
        </w:tc>
        <w:tc>
          <w:tcPr>
            <w:tcW w:type="dxa" w:w="35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Called at settlement</w:t>
            </w:r>
          </w:p>
        </w:tc>
      </w:tr>
    </w:tbl>
    <w:p>
      <w:pPr>
        <w:spacing w:after="120"/>
      </w:pPr>
    </w:p>
    <w:p>
      <w:pPr>
        <w:spacing w:after="160" w:before="0" w:line="276"/>
      </w:pPr>
      <w:r>
        <w:rPr>
          <w:rFonts w:ascii="Arial" w:cs="Arial" w:eastAsia="Arial" w:hAnsi="Arial"/>
          <w:sz w:val="22"/>
          <w:szCs w:val="22"/>
        </w:rPr>
        <w:t xml:space="preserve">Language: Solidity 0.8.x. Tooling: Foundry. Config: contracts/base/deployments/&lt;network&gt;.json with bytecode hashes.</w:t>
      </w:r>
    </w:p>
    <w:p>
      <w:pPr>
        <w:pStyle w:val="Heading2"/>
        <w:spacing w:after="120" w:before="260"/>
      </w:pPr>
      <w:bookmarkStart w:name="sec-5-2" w:id="30"/>
      <w:r>
        <w:rPr>
          <w:rFonts w:ascii="Arial" w:cs="Arial" w:eastAsia="Arial" w:hAnsi="Arial"/>
          <w:b/>
          <w:bCs/>
          <w:color w:val="1F4E79"/>
          <w:sz w:val="26"/>
          <w:szCs w:val="26"/>
        </w:rPr>
        <w:t xml:space="preserve">5.2 Backend</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Component</w:t>
            </w:r>
          </w:p>
        </w:tc>
        <w:tc>
          <w:tcPr>
            <w:tcW w:type="dxa" w:w="616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Technology</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Framework</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NestJS (TypeScript)</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Database</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MongoDB</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Roles</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RFQ intake, TLS bid intake, deterministic ranker, unsigned-route assembly, WebSocket notify, keepers</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Auth</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SIWE for interactive sessions; API keys or mTLS for bots</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Chain reads</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eth_call / logs via a Base RPC. Indexer projects events. Settlement does not depend on the indexer</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Shared math</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packages/base-core: EIP-712 hashing, compareLiquidationBids, oracle policy, B20 scaled units</w:t>
            </w:r>
          </w:p>
        </w:tc>
      </w:tr>
    </w:tbl>
    <w:p>
      <w:pPr>
        <w:spacing w:after="120"/>
      </w:pPr>
    </w:p>
    <w:p>
      <w:pPr>
        <w:pStyle w:val="Heading2"/>
        <w:spacing w:after="120" w:before="260"/>
      </w:pPr>
      <w:bookmarkStart w:name="sec-5-3" w:id="31"/>
      <w:r>
        <w:rPr>
          <w:rFonts w:ascii="Arial" w:cs="Arial" w:eastAsia="Arial" w:hAnsi="Arial"/>
          <w:b/>
          <w:bCs/>
          <w:color w:val="1F4E79"/>
          <w:sz w:val="26"/>
          <w:szCs w:val="26"/>
        </w:rPr>
        <w:t xml:space="preserve">5.3 Frontend</w:t>
      </w:r>
      <w:bookmarkEnd w:id="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Component</w:t>
            </w:r>
          </w:p>
        </w:tc>
        <w:tc>
          <w:tcPr>
            <w:tcW w:type="dxa" w:w="616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Technology</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Framework</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React 19 + Vite (TypeScript)</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Wallets</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MetaMask via wagmi / viem. EOA and ERC-1271</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Features</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Depositor vault, curator dashboard, public RFQ table, LP bid form, facility-executor unsigned-tx review, oracle/B20 status strip</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Not in v1</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Stock-for-USDC swap ticket</w:t>
            </w:r>
          </w:p>
        </w:tc>
      </w:tr>
    </w:tbl>
    <w:p>
      <w:pPr>
        <w:spacing w:after="120"/>
      </w:pPr>
    </w:p>
    <w:p>
      <w:pPr>
        <w:pStyle w:val="Heading2"/>
        <w:spacing w:after="120" w:before="260"/>
      </w:pPr>
      <w:bookmarkStart w:name="sec-5-4" w:id="32"/>
      <w:r>
        <w:rPr>
          <w:rFonts w:ascii="Arial" w:cs="Arial" w:eastAsia="Arial" w:hAnsi="Arial"/>
          <w:b/>
          <w:bCs/>
          <w:color w:val="1F4E79"/>
          <w:sz w:val="26"/>
          <w:szCs w:val="26"/>
        </w:rPr>
        <w:t xml:space="preserve">5.4 Repository shape</w:t>
      </w:r>
      <w:bookmarkEnd w:id="32"/>
    </w:p>
    <w:p>
      <w:pPr>
        <w:spacing w:after="160" w:before="0" w:line="276"/>
      </w:pPr>
      <w:r>
        <w:rPr>
          <w:rFonts w:ascii="Arial" w:cs="Arial" w:eastAsia="Arial" w:hAnsi="Arial"/>
          <w:sz w:val="22"/>
          <w:szCs w:val="22"/>
        </w:rPr>
        <w:t xml:space="preserve">New packages sit beside the existing monorepo. This feature does not rewrite packages already in the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DDDDD" w:sz="4"/>
              <w:left w:val="single" w:color="1F4E79" w:sz="12"/>
              <w:bottom w:val="single" w:color="DDDDDD" w:sz="4"/>
              <w:right w:val="single" w:color="DDDDDD" w:sz="4"/>
            </w:tcBorders>
            <w:shd w:fill="F4F4F4" w:val="clear"/>
            <w:tcMar>
              <w:top w:type="dxa" w:w="80"/>
              <w:left w:type="dxa" w:w="120"/>
              <w:bottom w:type="dxa" w:w="80"/>
              <w:right w:type="dxa" w:w="120"/>
            </w:tcMar>
          </w:tcPr>
          <w:p>
            <w:pPr>
              <w:spacing w:after="0" w:line="240"/>
            </w:pPr>
            <w:r>
              <w:rPr>
                <w:rFonts w:ascii="Consolas" w:cs="Consolas" w:eastAsia="Consolas" w:hAnsi="Consolas"/>
                <w:sz w:val="16"/>
                <w:szCs w:val="16"/>
              </w:rPr>
              <w:t xml:space="preserve">apps/</w:t>
            </w:r>
          </w:p>
          <w:p>
            <w:pPr>
              <w:spacing w:after="0" w:line="240"/>
            </w:pPr>
            <w:r>
              <w:rPr>
                <w:rFonts w:ascii="Consolas" w:cs="Consolas" w:eastAsia="Consolas" w:hAnsi="Consolas"/>
                <w:sz w:val="16"/>
                <w:szCs w:val="16"/>
              </w:rPr>
              <w:t xml:space="preserve">  base-web/</w:t>
            </w:r>
          </w:p>
          <w:p>
            <w:pPr>
              <w:spacing w:after="0" w:line="240"/>
            </w:pPr>
            <w:r>
              <w:rPr>
                <w:rFonts w:ascii="Consolas" w:cs="Consolas" w:eastAsia="Consolas" w:hAnsi="Consolas"/>
                <w:sz w:val="16"/>
                <w:szCs w:val="16"/>
              </w:rPr>
              <w:t xml:space="preserve">  base-api/</w:t>
            </w:r>
          </w:p>
          <w:p>
            <w:pPr>
              <w:spacing w:after="0" w:line="240"/>
            </w:pPr>
            <w:r>
              <w:rPr>
                <w:rFonts w:ascii="Consolas" w:cs="Consolas" w:eastAsia="Consolas" w:hAnsi="Consolas"/>
                <w:sz w:val="16"/>
                <w:szCs w:val="16"/>
              </w:rPr>
              <w:t xml:space="preserve">packages/</w:t>
            </w:r>
          </w:p>
          <w:p>
            <w:pPr>
              <w:spacing w:after="0" w:line="240"/>
            </w:pPr>
            <w:r>
              <w:rPr>
                <w:rFonts w:ascii="Consolas" w:cs="Consolas" w:eastAsia="Consolas" w:hAnsi="Consolas"/>
                <w:sz w:val="16"/>
                <w:szCs w:val="16"/>
              </w:rPr>
              <w:t xml:space="preserve">  base-core/</w:t>
            </w:r>
          </w:p>
          <w:p>
            <w:pPr>
              <w:spacing w:after="0" w:line="240"/>
            </w:pPr>
            <w:r>
              <w:rPr>
                <w:rFonts w:ascii="Consolas" w:cs="Consolas" w:eastAsia="Consolas" w:hAnsi="Consolas"/>
                <w:sz w:val="16"/>
                <w:szCs w:val="16"/>
              </w:rPr>
              <w:t xml:space="preserve">  base-sdk/</w:t>
            </w:r>
          </w:p>
          <w:p>
            <w:pPr>
              <w:spacing w:after="0" w:line="240"/>
            </w:pPr>
            <w:r>
              <w:rPr>
                <w:rFonts w:ascii="Consolas" w:cs="Consolas" w:eastAsia="Consolas" w:hAnsi="Consolas"/>
                <w:sz w:val="16"/>
                <w:szCs w:val="16"/>
              </w:rPr>
              <w:t xml:space="preserve">  base-contracts/</w:t>
            </w:r>
          </w:p>
          <w:p>
            <w:pPr>
              <w:spacing w:after="0" w:line="240"/>
            </w:pPr>
            <w:r>
              <w:rPr>
                <w:rFonts w:ascii="Consolas" w:cs="Consolas" w:eastAsia="Consolas" w:hAnsi="Consolas"/>
                <w:sz w:val="16"/>
                <w:szCs w:val="16"/>
              </w:rPr>
              <w:t xml:space="preserve">contracts/base/</w:t>
            </w:r>
          </w:p>
          <w:p>
            <w:pPr>
              <w:spacing w:after="0" w:line="240"/>
            </w:pPr>
            <w:r>
              <w:rPr>
                <w:rFonts w:ascii="Consolas" w:cs="Consolas" w:eastAsia="Consolas" w:hAnsi="Consolas"/>
                <w:sz w:val="16"/>
                <w:szCs w:val="16"/>
              </w:rPr>
              <w:t xml:space="preserve">services/</w:t>
            </w:r>
          </w:p>
          <w:p>
            <w:pPr>
              <w:spacing w:after="0" w:line="240"/>
            </w:pPr>
            <w:r>
              <w:rPr>
                <w:rFonts w:ascii="Consolas" w:cs="Consolas" w:eastAsia="Consolas" w:hAnsi="Consolas"/>
                <w:sz w:val="16"/>
                <w:szCs w:val="16"/>
              </w:rPr>
              <w:t xml:space="preserve">  indexer/</w:t>
            </w:r>
          </w:p>
          <w:p>
            <w:pPr>
              <w:spacing w:after="0" w:line="240"/>
            </w:pPr>
            <w:r>
              <w:rPr>
                <w:rFonts w:ascii="Consolas" w:cs="Consolas" w:eastAsia="Consolas" w:hAnsi="Consolas"/>
                <w:sz w:val="16"/>
                <w:szCs w:val="16"/>
              </w:rPr>
              <w:t xml:space="preserve">  keepers/</w:t>
            </w:r>
          </w:p>
        </w:tc>
      </w:tr>
    </w:tbl>
    <w:p>
      <w:pPr>
        <w:spacing w:after="120"/>
      </w:pPr>
    </w:p>
    <w:p>
      <w:pPr>
        <w:pStyle w:val="Heading2"/>
        <w:spacing w:after="120" w:before="260"/>
      </w:pPr>
      <w:bookmarkStart w:name="sec-5-5" w:id="33"/>
      <w:r>
        <w:rPr>
          <w:rFonts w:ascii="Arial" w:cs="Arial" w:eastAsia="Arial" w:hAnsi="Arial"/>
          <w:b/>
          <w:bCs/>
          <w:color w:val="1F4E79"/>
          <w:sz w:val="26"/>
          <w:szCs w:val="26"/>
        </w:rPr>
        <w:t xml:space="preserve">5.5 Infrastructure</w:t>
      </w:r>
      <w:bookmarkEnd w:id="33"/>
    </w:p>
    <w:p>
      <w:pPr>
        <w:spacing w:after="160" w:before="0" w:line="276"/>
      </w:pPr>
      <w:r>
        <w:rPr>
          <w:rFonts w:ascii="Arial" w:cs="Arial" w:eastAsia="Arial" w:hAnsi="Arial"/>
          <w:sz w:val="22"/>
          <w:szCs w:val="22"/>
        </w:rPr>
        <w:t xml:space="preserve">Vendor is unpinned. Figure 6 is the topology, not a hosting commitment. No funded settlement key in any API environment.</w:t>
      </w:r>
    </w:p>
    <w:p>
      <w:pPr>
        <w:sectPr>
          <w:headerReference w:type="default" r:id="rId23"/>
          <w:footerReference w:type="default" r:id="rId24"/>
          <w:pgSz w:w="12240" w:h="15840" w:orient="portrait"/>
          <w:pgMar w:top="1440" w:right="1440" w:bottom="1440" w:left="1440" w:header="708" w:footer="708" w:gutter="0"/>
          <w:pgNumType/>
          <w:docGrid w:linePitch="360"/>
        </w:sectPr>
      </w:pPr>
    </w:p>
    <w:p>
      <w:pPr>
        <w:spacing w:after="40" w:before="80"/>
        <w:jc w:val="center"/>
      </w:pPr>
      <w:r>
        <w:drawing>
          <wp:inline distT="0" distB="0" distL="0" distR="0">
            <wp:extent cx="8953500" cy="3648075"/>
            <wp:effectExtent t="0" r="0" b="0" l="0"/>
            <wp:docPr id="1" name="Deployment topology" descr="CDN static SPA, container API/ranker/keepers/Mongo, Base RPC. Winner-signed settlement. Boot-fail if a settlement key is configured." title="Figure 6.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953500" cy="3648075"/>
                    </a:xfrm>
                    <a:prstGeom prst="rect">
                      <a:avLst/>
                    </a:prstGeom>
                  </pic:spPr>
                </pic:pic>
              </a:graphicData>
            </a:graphic>
          </wp:inline>
        </w:drawing>
      </w:r>
    </w:p>
    <w:p>
      <w:pPr>
        <w:spacing w:after="80" w:before="80"/>
        <w:jc w:val="center"/>
      </w:pPr>
      <w:bookmarkStart w:name="fig-6" w:id="71"/>
      <w:r>
        <w:rPr>
          <w:rFonts w:ascii="Arial" w:cs="Arial" w:eastAsia="Arial" w:hAnsi="Arial"/>
          <w:i/>
          <w:iCs/>
          <w:color w:val="595959"/>
          <w:sz w:val="18"/>
          <w:szCs w:val="18"/>
        </w:rPr>
        <w:t xml:space="preserve">Figure 6. Deployment topology (vendor unpinned). Winner-signed executeLiquidationRoute is the only settlement path. Boot-fail if a settlement key is configured. Mainnet funds require Sepolia evidence, venue-fork conformance, guardian, timelock, and an external audit.</w:t>
      </w:r>
      <w:bookmarkEnd w:id="71"/>
    </w:p>
    <w:p>
      <w:pPr>
        <w:sectPr>
          <w:headerReference w:type="default" r:id="rId25"/>
          <w:footerReference w:type="default" r:id="rId26"/>
          <w:pgSz w:w="15840" w:h="12240" w:orient="landscape"/>
          <w:pgMar w:top="864" w:right="864" w:bottom="864" w:left="864" w:header="708" w:footer="708" w:gutter="0"/>
          <w:pgNumType/>
          <w:docGrid w:linePitch="360"/>
        </w:sectPr>
      </w:pPr>
    </w:p>
    <w:p>
      <w:pPr>
        <w:pStyle w:val="ListParagraph"/>
        <w:numPr>
          <w:ilvl w:val="0"/>
          <w:numId w:val="2"/>
        </w:numPr>
        <w:spacing w:after="60" w:line="276"/>
      </w:pPr>
      <w:r>
        <w:rPr>
          <w:rFonts w:ascii="Arial" w:cs="Arial" w:eastAsia="Arial" w:hAnsi="Arial"/>
          <w:sz w:val="22"/>
          <w:szCs w:val="22"/>
        </w:rPr>
        <w:t xml:space="preserve">Web: static SPA on a CDN or Vercel-style host</w:t>
      </w:r>
    </w:p>
    <w:p>
      <w:pPr>
        <w:pStyle w:val="ListParagraph"/>
        <w:numPr>
          <w:ilvl w:val="0"/>
          <w:numId w:val="2"/>
        </w:numPr>
        <w:spacing w:after="60" w:line="276"/>
      </w:pPr>
      <w:r>
        <w:rPr>
          <w:rFonts w:ascii="Arial" w:cs="Arial" w:eastAsia="Arial" w:hAnsi="Arial"/>
          <w:sz w:val="22"/>
          <w:szCs w:val="22"/>
        </w:rPr>
        <w:t xml:space="preserve">API, indexer, keepers: container host with MongoDB and TLS at the edge</w:t>
      </w:r>
    </w:p>
    <w:p>
      <w:pPr>
        <w:pStyle w:val="ListParagraph"/>
        <w:numPr>
          <w:ilvl w:val="0"/>
          <w:numId w:val="2"/>
        </w:numPr>
        <w:spacing w:after="60" w:line="276"/>
      </w:pPr>
      <w:r>
        <w:rPr>
          <w:rFonts w:ascii="Arial" w:cs="Arial" w:eastAsia="Arial" w:hAnsi="Arial"/>
          <w:sz w:val="22"/>
          <w:szCs w:val="22"/>
        </w:rPr>
        <w:t xml:space="preserve">No funded settlement key in any API environment</w:t>
      </w:r>
    </w:p>
    <w:p>
      <w:pPr>
        <w:pStyle w:val="Heading1"/>
        <w:pBdr>
          <w:bottom w:val="single" w:color="1F4E79" w:sz="8" w:space="4"/>
        </w:pBdr>
        <w:spacing w:after="160" w:before="320"/>
      </w:pPr>
      <w:bookmarkStart w:name="sec-6" w:id="34"/>
      <w:r>
        <w:rPr>
          <w:rFonts w:ascii="Arial" w:cs="Arial" w:eastAsia="Arial" w:hAnsi="Arial"/>
          <w:b/>
          <w:bCs/>
          <w:color w:val="1F4E79"/>
          <w:sz w:val="32"/>
          <w:szCs w:val="32"/>
        </w:rPr>
        <w:t xml:space="preserve">6. Integrations</w:t>
      </w:r>
      <w:bookmarkEnd w:id="3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Integration</w:t>
            </w:r>
          </w:p>
        </w:tc>
        <w:tc>
          <w:tcPr>
            <w:tcW w:type="dxa" w:w="616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Usage</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MetaMask / wagmi / viem</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Connect, chain gate (84532 / 8453), eth_signTypedData_v4, send tx</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Base RPC</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Simulate, submit, log tail</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Circle native USDC</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Facility asset and RFQ debt asset. Base 0x833589fCD6eDb6E08f4c7C32D4f71b54bdA02913. Sepolia 0x036CbD53842c5426634e7929541eC2318f3dCF7e. Reject USDbC 0xd9aAEc86B65D86f6A7B5B1b0c42FFA531710b6CA</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B20</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Factory 0xB20f000000000000000000000000000000000000. PolicyRegistry 0x8453000000000000000000000000000000000002. ActivationRegistry 0x8453000000000000000000000000000000000001. Token registry 0x3f3E8cf41cdd3b1D118c16471aB0113DfDDd5CaD</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Chainlink</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8-decimal total-return equity feeds. Sequencer uptime 0xBCF85224fc0756B9Fa45aA7892530B47e10b6433 (answer 0 up, 1 down)</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Coinbase oracle registry</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Onchain pause flag. Fail closed</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Aave, Morpho, Euler</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Yield allocate / deallocate and typed liquidate. Addresses pinned from official docs plus bytecode hash at implementation</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Aerodrome</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Read-only implied collateral-for-repay. Not a swap in the liquidation transaction</w:t>
            </w:r>
          </w:p>
        </w:tc>
      </w:tr>
    </w:tbl>
    <w:p>
      <w:pPr>
        <w:spacing w:after="120"/>
      </w:pPr>
    </w:p>
    <w:p>
      <w:pPr>
        <w:pStyle w:val="Heading2"/>
        <w:spacing w:after="120" w:before="260"/>
      </w:pPr>
      <w:bookmarkStart w:name="sec-6-1" w:id="35"/>
      <w:r>
        <w:rPr>
          <w:rFonts w:ascii="Arial" w:cs="Arial" w:eastAsia="Arial" w:hAnsi="Arial"/>
          <w:b/>
          <w:bCs/>
          <w:color w:val="1F4E79"/>
          <w:sz w:val="26"/>
          <w:szCs w:val="26"/>
        </w:rPr>
        <w:t xml:space="preserve">6.1 First-wave B20 tokens</w:t>
      </w:r>
      <w:bookmarkEnd w:id="35"/>
    </w:p>
    <w:p>
      <w:pPr>
        <w:spacing w:after="160" w:before="0" w:line="276"/>
      </w:pPr>
      <w:r>
        <w:rPr>
          <w:rFonts w:ascii="Arial" w:cs="Arial" w:eastAsia="Arial" w:hAnsi="Arial"/>
          <w:sz w:val="22"/>
          <w:szCs w:val="22"/>
        </w:rPr>
        <w:t xml:space="preserve">Key by address, never by ticker alone. v1 markets are the intersection of this list, an official Chainlink feed, and at least one confirmed v1 lending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Symbol</w:t>
            </w:r>
          </w:p>
        </w:tc>
        <w:tc>
          <w:tcPr>
            <w:tcW w:type="dxa" w:w="716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Token</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AAPLc</w:t>
            </w:r>
          </w:p>
        </w:tc>
        <w:tc>
          <w:tcPr>
            <w:tcW w:type="dxa" w:w="7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0xb200000000000000000000C2e324d24d7eEcd1fb</w:t>
            </w:r>
          </w:p>
        </w:tc>
      </w:tr>
      <w:tr>
        <w:trPr>
          <w:cantSplit/>
        </w:trPr>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AMZNc</w:t>
            </w:r>
          </w:p>
        </w:tc>
        <w:tc>
          <w:tcPr>
            <w:tcW w:type="dxa" w:w="7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0xb200000000000000000000d9192b6B456483C2E8</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COINc</w:t>
            </w:r>
          </w:p>
        </w:tc>
        <w:tc>
          <w:tcPr>
            <w:tcW w:type="dxa" w:w="7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0xb200000000000000000000c85a31389D71F3ecfb</w:t>
            </w:r>
          </w:p>
        </w:tc>
      </w:tr>
      <w:tr>
        <w:trPr>
          <w:cantSplit/>
        </w:trPr>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CRCLc</w:t>
            </w:r>
          </w:p>
        </w:tc>
        <w:tc>
          <w:tcPr>
            <w:tcW w:type="dxa" w:w="7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0xB20000000000000000000019f6E7C675b73C2e4D</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GOOGLc</w:t>
            </w:r>
          </w:p>
        </w:tc>
        <w:tc>
          <w:tcPr>
            <w:tcW w:type="dxa" w:w="7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0xb2000000000000000000002D0BA3164cc74f58B7</w:t>
            </w:r>
          </w:p>
        </w:tc>
      </w:tr>
      <w:tr>
        <w:trPr>
          <w:cantSplit/>
        </w:trPr>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INTCc</w:t>
            </w:r>
          </w:p>
        </w:tc>
        <w:tc>
          <w:tcPr>
            <w:tcW w:type="dxa" w:w="7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0xB2000000000000000000004AFF16039bA04bdFBc</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METAc</w:t>
            </w:r>
          </w:p>
        </w:tc>
        <w:tc>
          <w:tcPr>
            <w:tcW w:type="dxa" w:w="7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0xb2000000000000000000008bC8786B856E61707C</w:t>
            </w:r>
          </w:p>
        </w:tc>
      </w:tr>
      <w:tr>
        <w:trPr>
          <w:cantSplit/>
        </w:trPr>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MSFTc</w:t>
            </w:r>
          </w:p>
        </w:tc>
        <w:tc>
          <w:tcPr>
            <w:tcW w:type="dxa" w:w="7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0xB200000000000000000000Ab99cFa739E253872B</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MSTRc</w:t>
            </w:r>
          </w:p>
        </w:tc>
        <w:tc>
          <w:tcPr>
            <w:tcW w:type="dxa" w:w="7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0xb2000000000000000000004884b426556b92883d</w:t>
            </w:r>
          </w:p>
        </w:tc>
      </w:tr>
      <w:tr>
        <w:trPr>
          <w:cantSplit/>
        </w:trPr>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NVDAc</w:t>
            </w:r>
          </w:p>
        </w:tc>
        <w:tc>
          <w:tcPr>
            <w:tcW w:type="dxa" w:w="7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0xb20000000000000000000078ee7ce2fE4908108C</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SNDKc</w:t>
            </w:r>
          </w:p>
        </w:tc>
        <w:tc>
          <w:tcPr>
            <w:tcW w:type="dxa" w:w="7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0xb200000000000000000000397293Cb8cda9a10c5</w:t>
            </w:r>
          </w:p>
        </w:tc>
      </w:tr>
      <w:tr>
        <w:trPr>
          <w:cantSplit/>
        </w:trPr>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SPCXc</w:t>
            </w:r>
          </w:p>
        </w:tc>
        <w:tc>
          <w:tcPr>
            <w:tcW w:type="dxa" w:w="7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0xb2000000000000000000007b9fcbd005511aCBd5</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TSLAc</w:t>
            </w:r>
          </w:p>
        </w:tc>
        <w:tc>
          <w:tcPr>
            <w:tcW w:type="dxa" w:w="7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0xb2000000000000000000001e800a7f5189430cD0</w:t>
            </w:r>
          </w:p>
        </w:tc>
      </w:tr>
    </w:tbl>
    <w:p>
      <w:pPr>
        <w:spacing w:after="120"/>
      </w:pPr>
    </w:p>
    <w:p>
      <w:pPr>
        <w:pStyle w:val="Heading2"/>
        <w:spacing w:after="120" w:before="260"/>
      </w:pPr>
      <w:bookmarkStart w:name="sec-6-2" w:id="36"/>
      <w:r>
        <w:rPr>
          <w:rFonts w:ascii="Arial" w:cs="Arial" w:eastAsia="Arial" w:hAnsi="Arial"/>
          <w:b/>
          <w:bCs/>
          <w:color w:val="1F4E79"/>
          <w:sz w:val="26"/>
          <w:szCs w:val="26"/>
        </w:rPr>
        <w:t xml:space="preserve">6.2 Chainlink total-return feeds</w:t>
      </w:r>
      <w:bookmarkEnd w:id="36"/>
    </w:p>
    <w:p>
      <w:pPr>
        <w:spacing w:after="160" w:before="0" w:line="276"/>
      </w:pPr>
      <w:r>
        <w:rPr>
          <w:rFonts w:ascii="Arial" w:cs="Arial" w:eastAsia="Arial" w:hAnsi="Arial"/>
          <w:sz w:val="22"/>
          <w:szCs w:val="22"/>
        </w:rPr>
        <w:t xml:space="preserve">8 decimals. 0.5% deviation or 24h heartbeat, 24/5. Freeze on weekends, holidays, and corporate actions. Token price equals underlying equity market price times the B20 multiplier.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Underlying</w:t>
            </w:r>
          </w:p>
        </w:tc>
        <w:tc>
          <w:tcPr>
            <w:tcW w:type="dxa" w:w="716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Feed</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AAPL</w:t>
            </w:r>
          </w:p>
        </w:tc>
        <w:tc>
          <w:tcPr>
            <w:tcW w:type="dxa" w:w="7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0x787f13dEa48Db0897CbCDD985de77809D837F988</w:t>
            </w:r>
          </w:p>
        </w:tc>
      </w:tr>
      <w:tr>
        <w:trPr>
          <w:cantSplit/>
        </w:trPr>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AMZN</w:t>
            </w:r>
          </w:p>
        </w:tc>
        <w:tc>
          <w:tcPr>
            <w:tcW w:type="dxa" w:w="7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0x06A8E4b3aBB3B7543d8396FB2B763d22820cB295</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COIN</w:t>
            </w:r>
          </w:p>
        </w:tc>
        <w:tc>
          <w:tcPr>
            <w:tcW w:type="dxa" w:w="7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0x408e44f504A7371a345F03a73dDC96A4b48e8aa7</w:t>
            </w:r>
          </w:p>
        </w:tc>
      </w:tr>
      <w:tr>
        <w:trPr>
          <w:cantSplit/>
        </w:trPr>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CRCL</w:t>
            </w:r>
          </w:p>
        </w:tc>
        <w:tc>
          <w:tcPr>
            <w:tcW w:type="dxa" w:w="7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0x0231cF2635D1E17bB5c2462cc7504Ba1fBd61f33</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GOOGL</w:t>
            </w:r>
          </w:p>
        </w:tc>
        <w:tc>
          <w:tcPr>
            <w:tcW w:type="dxa" w:w="7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0x5bF49E0ffA937CE2FfF033c739aD7C634c4D34F2</w:t>
            </w:r>
          </w:p>
        </w:tc>
      </w:tr>
      <w:tr>
        <w:trPr>
          <w:cantSplit/>
        </w:trPr>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INTC</w:t>
            </w:r>
          </w:p>
        </w:tc>
        <w:tc>
          <w:tcPr>
            <w:tcW w:type="dxa" w:w="7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0xAB657C39bac0D5886250D70849e2E3E008F2EECB</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META</w:t>
            </w:r>
          </w:p>
        </w:tc>
        <w:tc>
          <w:tcPr>
            <w:tcW w:type="dxa" w:w="7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0x6526aE6797A76123638b863AeE4dD27Ba4E4b27D</w:t>
            </w:r>
          </w:p>
        </w:tc>
      </w:tr>
      <w:tr>
        <w:trPr>
          <w:cantSplit/>
        </w:trPr>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MSFT</w:t>
            </w:r>
          </w:p>
        </w:tc>
        <w:tc>
          <w:tcPr>
            <w:tcW w:type="dxa" w:w="7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0xeB10A6c9aa7E537aEd766C08c35Dae35B321b18c</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MSTR</w:t>
            </w:r>
          </w:p>
        </w:tc>
        <w:tc>
          <w:tcPr>
            <w:tcW w:type="dxa" w:w="7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0xB3cE282CD188b35DA0E38D8Bc7d58e33173D202a</w:t>
            </w:r>
          </w:p>
        </w:tc>
      </w:tr>
      <w:tr>
        <w:trPr>
          <w:cantSplit/>
        </w:trPr>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NVDA</w:t>
            </w:r>
          </w:p>
        </w:tc>
        <w:tc>
          <w:tcPr>
            <w:tcW w:type="dxa" w:w="7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0x04689a41629776563E6822F76f2e57D148d28513</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SNDK</w:t>
            </w:r>
          </w:p>
        </w:tc>
        <w:tc>
          <w:tcPr>
            <w:tcW w:type="dxa" w:w="7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0x388b0dC46C0Fb05A74BeE0994fa5b02c6Fcca2eA</w:t>
            </w:r>
          </w:p>
        </w:tc>
      </w:tr>
      <w:tr>
        <w:trPr>
          <w:cantSplit/>
        </w:trPr>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SPCX</w:t>
            </w:r>
          </w:p>
        </w:tc>
        <w:tc>
          <w:tcPr>
            <w:tcW w:type="dxa" w:w="7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0x6A634B235903C4ad6376892180d6fF8612e3Fa68</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TSLA</w:t>
            </w:r>
          </w:p>
        </w:tc>
        <w:tc>
          <w:tcPr>
            <w:tcW w:type="dxa" w:w="7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Consolas" w:cs="Consolas" w:eastAsia="Consolas" w:hAnsi="Consolas"/>
                <w:b w:val="false"/>
                <w:bCs w:val="false"/>
                <w:sz w:val="18"/>
                <w:szCs w:val="18"/>
              </w:rPr>
              <w:t xml:space="preserve">0xFaf869185383a24F8cb00e27BdA6b63B9905DCb4</w:t>
            </w:r>
          </w:p>
        </w:tc>
      </w:tr>
    </w:tbl>
    <w:p>
      <w:pPr>
        <w:pStyle w:val="Heading1"/>
        <w:pBdr>
          <w:bottom w:val="single" w:color="1F4E79" w:sz="8" w:space="4"/>
        </w:pBdr>
        <w:spacing w:after="160" w:before="320"/>
      </w:pPr>
      <w:bookmarkStart w:name="sec-7" w:id="37"/>
      <w:r>
        <w:rPr>
          <w:rFonts w:ascii="Arial" w:cs="Arial" w:eastAsia="Arial" w:hAnsi="Arial"/>
          <w:b/>
          <w:bCs/>
          <w:color w:val="1F4E79"/>
          <w:sz w:val="32"/>
          <w:szCs w:val="32"/>
        </w:rPr>
        <w:t xml:space="preserve">7. Typed Solidity function signatures</w:t>
      </w:r>
      <w:bookmarkEnd w:id="37"/>
    </w:p>
    <w:p>
      <w:pPr>
        <w:spacing w:after="160" w:before="0" w:line="276"/>
      </w:pPr>
      <w:r>
        <w:rPr>
          <w:rFonts w:ascii="Arial" w:cs="Arial" w:eastAsia="Arial" w:hAnsi="Arial"/>
          <w:sz w:val="22"/>
          <w:szCs w:val="22"/>
        </w:rPr>
        <w:t xml:space="preserve">Figure 7 is the interface map. The plan contains no arbitrary target and no user calldata. feeBps is 0 in pilot and cannot exceed 50.</w:t>
      </w:r>
    </w:p>
    <w:p>
      <w:pPr>
        <w:sectPr>
          <w:headerReference w:type="default" r:id="rId27"/>
          <w:footerReference w:type="default" r:id="rId28"/>
          <w:pgSz w:w="12240" w:h="15840" w:orient="portrait"/>
          <w:pgMar w:top="1440" w:right="1440" w:bottom="1440" w:left="1440" w:header="708" w:footer="708" w:gutter="0"/>
          <w:pgNumType/>
          <w:docGrid w:linePitch="360"/>
        </w:sectPr>
      </w:pPr>
    </w:p>
    <w:p>
      <w:pPr>
        <w:spacing w:after="40" w:before="80"/>
        <w:jc w:val="center"/>
      </w:pPr>
      <w:r>
        <w:drawing>
          <wp:inline distT="0" distB="0" distL="0" distR="0">
            <wp:extent cx="8953500" cy="3057525"/>
            <wp:effectExtent t="0" r="0" b="0" l="0"/>
            <wp:docPr id="1" name="Contract interfaces" descr="IRFQRouter, IRFQSettlement, IFacilityAggregator, ILiquidityFacility, adapters, and guards. executeSwapRoute reserved." title="Figure 7. Contract interfaces and str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953500" cy="3057525"/>
                    </a:xfrm>
                    <a:prstGeom prst="rect">
                      <a:avLst/>
                    </a:prstGeom>
                  </pic:spPr>
                </pic:pic>
              </a:graphicData>
            </a:graphic>
          </wp:inline>
        </w:drawing>
      </w:r>
    </w:p>
    <w:p>
      <w:pPr>
        <w:spacing w:after="80" w:before="80"/>
        <w:jc w:val="center"/>
      </w:pPr>
      <w:bookmarkStart w:name="fig-7" w:id="72"/>
      <w:r>
        <w:rPr>
          <w:rFonts w:ascii="Arial" w:cs="Arial" w:eastAsia="Arial" w:hAnsi="Arial"/>
          <w:i/>
          <w:iCs/>
          <w:color w:val="595959"/>
          <w:sz w:val="18"/>
          <w:szCs w:val="18"/>
        </w:rPr>
        <w:t xml:space="preserve">Figure 7. Contract interfaces and structs. executeSwapRoute is reserved and unexposed. Ranker lives in packages/base-core, not on-chain. Adapter bytecode is pinned.</w:t>
      </w:r>
      <w:bookmarkEnd w:id="72"/>
    </w:p>
    <w:p>
      <w:pPr>
        <w:sectPr>
          <w:headerReference w:type="default" r:id="rId29"/>
          <w:footerReference w:type="default" r:id="rId30"/>
          <w:pgSz w:w="15840" w:h="12240" w:orient="landscape"/>
          <w:pgMar w:top="864" w:right="864" w:bottom="864" w:left="864" w:header="708" w:footer="708" w:gutter="0"/>
          <w:pgNumType/>
          <w:docGrid w:linePitch="360"/>
        </w:sectPr>
      </w:pPr>
    </w:p>
    <w:p>
      <w:pPr>
        <w:pStyle w:val="Heading2"/>
        <w:spacing w:after="120" w:before="260"/>
      </w:pPr>
      <w:bookmarkStart w:name="sec-7-1" w:id="38"/>
      <w:r>
        <w:rPr>
          <w:rFonts w:ascii="Arial" w:cs="Arial" w:eastAsia="Arial" w:hAnsi="Arial"/>
          <w:b/>
          <w:bCs/>
          <w:color w:val="1F4E79"/>
          <w:sz w:val="26"/>
          <w:szCs w:val="26"/>
        </w:rPr>
        <w:t xml:space="preserve">7.1 Settlement</w:t>
      </w:r>
      <w:bookmarkEnd w:id="3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DDDDD" w:sz="4"/>
              <w:left w:val="single" w:color="1F4E79" w:sz="12"/>
              <w:bottom w:val="single" w:color="DDDDDD" w:sz="4"/>
              <w:right w:val="single" w:color="DDDDDD" w:sz="4"/>
            </w:tcBorders>
            <w:shd w:fill="F4F4F4" w:val="clear"/>
            <w:tcMar>
              <w:top w:type="dxa" w:w="80"/>
              <w:left w:type="dxa" w:w="120"/>
              <w:bottom w:type="dxa" w:w="80"/>
              <w:right w:type="dxa" w:w="120"/>
            </w:tcMar>
          </w:tcPr>
          <w:p>
            <w:pPr>
              <w:spacing w:after="0" w:line="240"/>
            </w:pPr>
            <w:r>
              <w:rPr>
                <w:rFonts w:ascii="Consolas" w:cs="Consolas" w:eastAsia="Consolas" w:hAnsi="Consolas"/>
                <w:sz w:val="16"/>
                <w:szCs w:val="16"/>
              </w:rPr>
              <w:t xml:space="preserve">interface IRFQSettlement {</w:t>
            </w:r>
          </w:p>
          <w:p>
            <w:pPr>
              <w:spacing w:after="0" w:line="240"/>
            </w:pPr>
            <w:r>
              <w:rPr>
                <w:rFonts w:ascii="Consolas" w:cs="Consolas" w:eastAsia="Consolas" w:hAnsi="Consolas"/>
                <w:sz w:val="16"/>
                <w:szCs w:val="16"/>
              </w:rPr>
              <w:t xml:space="preserve">    struct LiquidationFundingOrder {</w:t>
            </w:r>
          </w:p>
          <w:p>
            <w:pPr>
              <w:spacing w:after="0" w:line="240"/>
            </w:pPr>
            <w:r>
              <w:rPr>
                <w:rFonts w:ascii="Consolas" w:cs="Consolas" w:eastAsia="Consolas" w:hAnsi="Consolas"/>
                <w:sz w:val="16"/>
                <w:szCs w:val="16"/>
              </w:rPr>
              <w:t xml:space="preserve">        address maker;</w:t>
            </w:r>
          </w:p>
          <w:p>
            <w:pPr>
              <w:spacing w:after="0" w:line="240"/>
            </w:pPr>
            <w:r>
              <w:rPr>
                <w:rFonts w:ascii="Consolas" w:cs="Consolas" w:eastAsia="Consolas" w:hAnsi="Consolas"/>
                <w:sz w:val="16"/>
                <w:szCs w:val="16"/>
              </w:rPr>
              <w:t xml:space="preserve">        address signer;</w:t>
            </w:r>
          </w:p>
          <w:p>
            <w:pPr>
              <w:spacing w:after="0" w:line="240"/>
            </w:pPr>
            <w:r>
              <w:rPr>
                <w:rFonts w:ascii="Consolas" w:cs="Consolas" w:eastAsia="Consolas" w:hAnsi="Consolas"/>
                <w:sz w:val="16"/>
                <w:szCs w:val="16"/>
              </w:rPr>
              <w:t xml:space="preserve">        address debtAsset;</w:t>
            </w:r>
          </w:p>
          <w:p>
            <w:pPr>
              <w:spacing w:after="0" w:line="240"/>
            </w:pPr>
            <w:r>
              <w:rPr>
                <w:rFonts w:ascii="Consolas" w:cs="Consolas" w:eastAsia="Consolas" w:hAnsi="Consolas"/>
                <w:sz w:val="16"/>
                <w:szCs w:val="16"/>
              </w:rPr>
              <w:t xml:space="preserve">        address collateralAsset;</w:t>
            </w:r>
          </w:p>
          <w:p>
            <w:pPr>
              <w:spacing w:after="0" w:line="240"/>
            </w:pPr>
            <w:r>
              <w:rPr>
                <w:rFonts w:ascii="Consolas" w:cs="Consolas" w:eastAsia="Consolas" w:hAnsi="Consolas"/>
                <w:sz w:val="16"/>
                <w:szCs w:val="16"/>
              </w:rPr>
              <w:t xml:space="preserve">        uint256 maxRepayAssets;</w:t>
            </w:r>
          </w:p>
          <w:p>
            <w:pPr>
              <w:spacing w:after="0" w:line="240"/>
            </w:pPr>
            <w:r>
              <w:rPr>
                <w:rFonts w:ascii="Consolas" w:cs="Consolas" w:eastAsia="Consolas" w:hAnsi="Consolas"/>
                <w:sz w:val="16"/>
                <w:szCs w:val="16"/>
              </w:rPr>
              <w:t xml:space="preserve">        uint256 minCollateralOut;</w:t>
            </w:r>
          </w:p>
          <w:p>
            <w:pPr>
              <w:spacing w:after="0" w:line="240"/>
            </w:pPr>
            <w:r>
              <w:rPr>
                <w:rFonts w:ascii="Consolas" w:cs="Consolas" w:eastAsia="Consolas" w:hAnsi="Consolas"/>
                <w:sz w:val="16"/>
                <w:szCs w:val="16"/>
              </w:rPr>
              <w:t xml:space="preserve">        uint8 fillMode;</w:t>
            </w:r>
          </w:p>
          <w:p>
            <w:pPr>
              <w:spacing w:after="0" w:line="240"/>
            </w:pPr>
            <w:r>
              <w:rPr>
                <w:rFonts w:ascii="Consolas" w:cs="Consolas" w:eastAsia="Consolas" w:hAnsi="Consolas"/>
                <w:sz w:val="16"/>
                <w:szCs w:val="16"/>
              </w:rPr>
              <w:t xml:space="preserve">        uint256 expiry;</w:t>
            </w:r>
          </w:p>
          <w:p>
            <w:pPr>
              <w:spacing w:after="0" w:line="240"/>
            </w:pPr>
            <w:r>
              <w:rPr>
                <w:rFonts w:ascii="Consolas" w:cs="Consolas" w:eastAsia="Consolas" w:hAnsi="Consolas"/>
                <w:sz w:val="16"/>
                <w:szCs w:val="16"/>
              </w:rPr>
              <w:t xml:space="preserve">        uint256 salt;</w:t>
            </w:r>
          </w:p>
          <w:p>
            <w:pPr>
              <w:spacing w:after="0" w:line="240"/>
            </w:pPr>
            <w:r>
              <w:rPr>
                <w:rFonts w:ascii="Consolas" w:cs="Consolas" w:eastAsia="Consolas" w:hAnsi="Consolas"/>
                <w:sz w:val="16"/>
                <w:szCs w:val="16"/>
              </w:rPr>
              <w:t xml:space="preserve">        uint16 feeLimitBps;</w:t>
            </w:r>
          </w:p>
          <w:p>
            <w:pPr>
              <w:spacing w:after="0" w:line="240"/>
            </w:pPr>
            <w:r>
              <w:rPr>
                <w:rFonts w:ascii="Consolas" w:cs="Consolas" w:eastAsia="Consolas" w:hAnsi="Consolas"/>
                <w:sz w:val="16"/>
                <w:szCs w:val="16"/>
              </w:rPr>
              <w:t xml:space="preserve">        bytes32 rfqId;</w:t>
            </w:r>
          </w:p>
          <w:p>
            <w:pPr>
              <w:spacing w:after="0" w:line="240"/>
            </w:pPr>
            <w:r>
              <w:rPr>
                <w:rFonts w:ascii="Consolas" w:cs="Consolas" w:eastAsia="Consolas" w:hAnsi="Consolas"/>
                <w:sz w:val="16"/>
                <w:szCs w:val="16"/>
              </w:rPr>
              <w:t xml:space="preserve">        address venue;</w:t>
            </w:r>
          </w:p>
          <w:p>
            <w:pPr>
              <w:spacing w:after="0" w:line="240"/>
            </w:pPr>
            <w:r>
              <w:rPr>
                <w:rFonts w:ascii="Consolas" w:cs="Consolas" w:eastAsia="Consolas" w:hAnsi="Consolas"/>
                <w:sz w:val="16"/>
                <w:szCs w:val="16"/>
              </w:rPr>
              <w:t xml:space="preserve">        bytes32 marketId;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function fillLiquidationOrder(</w:t>
            </w:r>
          </w:p>
          <w:p>
            <w:pPr>
              <w:spacing w:after="0" w:line="240"/>
            </w:pPr>
            <w:r>
              <w:rPr>
                <w:rFonts w:ascii="Consolas" w:cs="Consolas" w:eastAsia="Consolas" w:hAnsi="Consolas"/>
                <w:sz w:val="16"/>
                <w:szCs w:val="16"/>
              </w:rPr>
              <w:t xml:space="preserve">        LiquidationFundingOrder calldata order,</w:t>
            </w:r>
          </w:p>
          <w:p>
            <w:pPr>
              <w:spacing w:after="0" w:line="240"/>
            </w:pPr>
            <w:r>
              <w:rPr>
                <w:rFonts w:ascii="Consolas" w:cs="Consolas" w:eastAsia="Consolas" w:hAnsi="Consolas"/>
                <w:sz w:val="16"/>
                <w:szCs w:val="16"/>
              </w:rPr>
              <w:t xml:space="preserve">        bytes calldata signature,</w:t>
            </w:r>
          </w:p>
          <w:p>
            <w:pPr>
              <w:spacing w:after="0" w:line="240"/>
            </w:pPr>
            <w:r>
              <w:rPr>
                <w:rFonts w:ascii="Consolas" w:cs="Consolas" w:eastAsia="Consolas" w:hAnsi="Consolas"/>
                <w:sz w:val="16"/>
                <w:szCs w:val="16"/>
              </w:rPr>
              <w:t xml:space="preserve">        uint256 repayAssets,</w:t>
            </w:r>
          </w:p>
          <w:p>
            <w:pPr>
              <w:spacing w:after="0" w:line="240"/>
            </w:pPr>
            <w:r>
              <w:rPr>
                <w:rFonts w:ascii="Consolas" w:cs="Consolas" w:eastAsia="Consolas" w:hAnsi="Consolas"/>
                <w:sz w:val="16"/>
                <w:szCs w:val="16"/>
              </w:rPr>
              <w:t xml:space="preserve">        address recipient</w:t>
            </w:r>
          </w:p>
          <w:p>
            <w:pPr>
              <w:spacing w:after="0" w:line="240"/>
            </w:pPr>
            <w:r>
              <w:rPr>
                <w:rFonts w:ascii="Consolas" w:cs="Consolas" w:eastAsia="Consolas" w:hAnsi="Consolas"/>
                <w:sz w:val="16"/>
                <w:szCs w:val="16"/>
              </w:rPr>
              <w:t xml:space="preserve">    ) external returns (uint256 pulledUsdc);</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function registerOrderSigner(address signer) external;</w:t>
            </w:r>
          </w:p>
          <w:p>
            <w:pPr>
              <w:spacing w:after="0" w:line="240"/>
            </w:pPr>
            <w:r>
              <w:rPr>
                <w:rFonts w:ascii="Consolas" w:cs="Consolas" w:eastAsia="Consolas" w:hAnsi="Consolas"/>
                <w:sz w:val="16"/>
                <w:szCs w:val="16"/>
              </w:rPr>
              <w:t xml:space="preserve">    function revokeOrderSigner(address signer) external;</w:t>
            </w:r>
          </w:p>
          <w:p>
            <w:pPr>
              <w:spacing w:after="0" w:line="240"/>
            </w:pPr>
            <w:r>
              <w:rPr>
                <w:rFonts w:ascii="Consolas" w:cs="Consolas" w:eastAsia="Consolas" w:hAnsi="Consolas"/>
                <w:sz w:val="16"/>
                <w:szCs w:val="16"/>
              </w:rPr>
              <w:t xml:space="preserve">    function cancelOrder(bytes32 orderHash) external;</w:t>
            </w:r>
          </w:p>
          <w:p>
            <w:pPr>
              <w:spacing w:after="0" w:line="240"/>
            </w:pPr>
            <w:r>
              <w:rPr>
                <w:rFonts w:ascii="Consolas" w:cs="Consolas" w:eastAsia="Consolas" w:hAnsi="Consolas"/>
                <w:sz w:val="16"/>
                <w:szCs w:val="16"/>
              </w:rPr>
              <w:t xml:space="preserve">    function cancelPairBelowSalt(</w:t>
            </w:r>
          </w:p>
          <w:p>
            <w:pPr>
              <w:spacing w:after="0" w:line="240"/>
            </w:pPr>
            <w:r>
              <w:rPr>
                <w:rFonts w:ascii="Consolas" w:cs="Consolas" w:eastAsia="Consolas" w:hAnsi="Consolas"/>
                <w:sz w:val="16"/>
                <w:szCs w:val="16"/>
              </w:rPr>
              <w:t xml:space="preserve">        address debtAsset,</w:t>
            </w:r>
          </w:p>
          <w:p>
            <w:pPr>
              <w:spacing w:after="0" w:line="240"/>
            </w:pPr>
            <w:r>
              <w:rPr>
                <w:rFonts w:ascii="Consolas" w:cs="Consolas" w:eastAsia="Consolas" w:hAnsi="Consolas"/>
                <w:sz w:val="16"/>
                <w:szCs w:val="16"/>
              </w:rPr>
              <w:t xml:space="preserve">        address collateralAsset,</w:t>
            </w:r>
          </w:p>
          <w:p>
            <w:pPr>
              <w:spacing w:after="0" w:line="240"/>
            </w:pPr>
            <w:r>
              <w:rPr>
                <w:rFonts w:ascii="Consolas" w:cs="Consolas" w:eastAsia="Consolas" w:hAnsi="Consolas"/>
                <w:sz w:val="16"/>
                <w:szCs w:val="16"/>
              </w:rPr>
              <w:t xml:space="preserve">        uint256 minSalt</w:t>
            </w:r>
          </w:p>
          <w:p>
            <w:pPr>
              <w:spacing w:after="0" w:line="240"/>
            </w:pPr>
            <w:r>
              <w:rPr>
                <w:rFonts w:ascii="Consolas" w:cs="Consolas" w:eastAsia="Consolas" w:hAnsi="Consolas"/>
                <w:sz w:val="16"/>
                <w:szCs w:val="16"/>
              </w:rPr>
              <w:t xml:space="preserve">    ) external;</w:t>
            </w:r>
          </w:p>
          <w:p>
            <w:pPr>
              <w:spacing w:after="0" w:line="240"/>
            </w:pPr>
            <w:r>
              <w:rPr>
                <w:rFonts w:ascii="Consolas" w:cs="Consolas" w:eastAsia="Consolas" w:hAnsi="Consolas"/>
                <w:sz w:val="16"/>
                <w:szCs w:val="16"/>
              </w:rPr>
              <w:t xml:space="preserve">}</w:t>
            </w:r>
          </w:p>
        </w:tc>
      </w:tr>
    </w:tbl>
    <w:p>
      <w:pPr>
        <w:spacing w:after="120"/>
      </w:pPr>
    </w:p>
    <w:p>
      <w:pPr>
        <w:spacing w:after="160" w:before="0" w:line="276"/>
      </w:pPr>
      <w:r>
        <w:rPr>
          <w:rFonts w:ascii="Arial" w:cs="Arial" w:eastAsia="Arial" w:hAnsi="Arial"/>
          <w:sz w:val="22"/>
          <w:szCs w:val="22"/>
        </w:rPr>
        <w:t xml:space="preserve">EIP-712 domain: name KatonRFQSettlement, version 1, chainId, verifyingContract. fillMode 0 is fill-or-kill for a bound RFQ. fillMode 1 is a standing order that may fund later RFQs until capacity is zero. A standing order with remaining capacity below repayAssets is skipped.</w:t>
      </w:r>
    </w:p>
    <w:p>
      <w:pPr>
        <w:pStyle w:val="Heading2"/>
        <w:spacing w:after="120" w:before="260"/>
      </w:pPr>
      <w:bookmarkStart w:name="sec-7-2" w:id="39"/>
      <w:r>
        <w:rPr>
          <w:rFonts w:ascii="Arial" w:cs="Arial" w:eastAsia="Arial" w:hAnsi="Arial"/>
          <w:b/>
          <w:bCs/>
          <w:color w:val="1F4E79"/>
          <w:sz w:val="26"/>
          <w:szCs w:val="26"/>
        </w:rPr>
        <w:t xml:space="preserve">7.2 RFQ router</w:t>
      </w:r>
      <w:bookmarkEnd w:id="3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DDDDD" w:sz="4"/>
              <w:left w:val="single" w:color="1F4E79" w:sz="12"/>
              <w:bottom w:val="single" w:color="DDDDDD" w:sz="4"/>
              <w:right w:val="single" w:color="DDDDDD" w:sz="4"/>
            </w:tcBorders>
            <w:shd w:fill="F4F4F4" w:val="clear"/>
            <w:tcMar>
              <w:top w:type="dxa" w:w="80"/>
              <w:left w:type="dxa" w:w="120"/>
              <w:bottom w:type="dxa" w:w="80"/>
              <w:right w:type="dxa" w:w="120"/>
            </w:tcMar>
          </w:tcPr>
          <w:p>
            <w:pPr>
              <w:spacing w:after="0" w:line="240"/>
            </w:pPr>
            <w:r>
              <w:rPr>
                <w:rFonts w:ascii="Consolas" w:cs="Consolas" w:eastAsia="Consolas" w:hAnsi="Consolas"/>
                <w:sz w:val="16"/>
                <w:szCs w:val="16"/>
              </w:rPr>
              <w:t xml:space="preserve">interface IRFQRouter {</w:t>
            </w:r>
          </w:p>
          <w:p>
            <w:pPr>
              <w:spacing w:after="0" w:line="240"/>
            </w:pPr>
            <w:r>
              <w:rPr>
                <w:rFonts w:ascii="Consolas" w:cs="Consolas" w:eastAsia="Consolas" w:hAnsi="Consolas"/>
                <w:sz w:val="16"/>
                <w:szCs w:val="16"/>
              </w:rPr>
              <w:t xml:space="preserve">    enum FundingSource { LP, FACILITY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struct LiquidationRoutePlan {</w:t>
            </w:r>
          </w:p>
          <w:p>
            <w:pPr>
              <w:spacing w:after="0" w:line="240"/>
            </w:pPr>
            <w:r>
              <w:rPr>
                <w:rFonts w:ascii="Consolas" w:cs="Consolas" w:eastAsia="Consolas" w:hAnsi="Consolas"/>
                <w:sz w:val="16"/>
                <w:szCs w:val="16"/>
              </w:rPr>
              <w:t xml:space="preserve">        bytes32 rfqId;</w:t>
            </w:r>
          </w:p>
          <w:p>
            <w:pPr>
              <w:spacing w:after="0" w:line="240"/>
            </w:pPr>
            <w:r>
              <w:rPr>
                <w:rFonts w:ascii="Consolas" w:cs="Consolas" w:eastAsia="Consolas" w:hAnsi="Consolas"/>
                <w:sz w:val="16"/>
                <w:szCs w:val="16"/>
              </w:rPr>
              <w:t xml:space="preserve">        address winner;</w:t>
            </w:r>
          </w:p>
          <w:p>
            <w:pPr>
              <w:spacing w:after="0" w:line="240"/>
            </w:pPr>
            <w:r>
              <w:rPr>
                <w:rFonts w:ascii="Consolas" w:cs="Consolas" w:eastAsia="Consolas" w:hAnsi="Consolas"/>
                <w:sz w:val="16"/>
                <w:szCs w:val="16"/>
              </w:rPr>
              <w:t xml:space="preserve">        address recipient;</w:t>
            </w:r>
          </w:p>
          <w:p>
            <w:pPr>
              <w:spacing w:after="0" w:line="240"/>
            </w:pPr>
            <w:r>
              <w:rPr>
                <w:rFonts w:ascii="Consolas" w:cs="Consolas" w:eastAsia="Consolas" w:hAnsi="Consolas"/>
                <w:sz w:val="16"/>
                <w:szCs w:val="16"/>
              </w:rPr>
              <w:t xml:space="preserve">        uint256 deadline;</w:t>
            </w:r>
          </w:p>
          <w:p>
            <w:pPr>
              <w:spacing w:after="0" w:line="240"/>
            </w:pPr>
            <w:r>
              <w:rPr>
                <w:rFonts w:ascii="Consolas" w:cs="Consolas" w:eastAsia="Consolas" w:hAnsi="Consolas"/>
                <w:sz w:val="16"/>
                <w:szCs w:val="16"/>
              </w:rPr>
              <w:t xml:space="preserve">        FundingSource source;</w:t>
            </w:r>
          </w:p>
          <w:p>
            <w:pPr>
              <w:spacing w:after="0" w:line="240"/>
            </w:pPr>
            <w:r>
              <w:rPr>
                <w:rFonts w:ascii="Consolas" w:cs="Consolas" w:eastAsia="Consolas" w:hAnsi="Consolas"/>
                <w:sz w:val="16"/>
                <w:szCs w:val="16"/>
              </w:rPr>
              <w:t xml:space="preserve">        address settlementOrFacility;</w:t>
            </w:r>
          </w:p>
          <w:p>
            <w:pPr>
              <w:spacing w:after="0" w:line="240"/>
            </w:pPr>
            <w:r>
              <w:rPr>
                <w:rFonts w:ascii="Consolas" w:cs="Consolas" w:eastAsia="Consolas" w:hAnsi="Consolas"/>
                <w:sz w:val="16"/>
                <w:szCs w:val="16"/>
              </w:rPr>
              <w:t xml:space="preserve">        address liquidationAdapter;</w:t>
            </w:r>
          </w:p>
          <w:p>
            <w:pPr>
              <w:spacing w:after="0" w:line="240"/>
            </w:pPr>
            <w:r>
              <w:rPr>
                <w:rFonts w:ascii="Consolas" w:cs="Consolas" w:eastAsia="Consolas" w:hAnsi="Consolas"/>
                <w:sz w:val="16"/>
                <w:szCs w:val="16"/>
              </w:rPr>
              <w:t xml:space="preserve">        uint256 repayAssets;</w:t>
            </w:r>
          </w:p>
          <w:p>
            <w:pPr>
              <w:spacing w:after="0" w:line="240"/>
            </w:pPr>
            <w:r>
              <w:rPr>
                <w:rFonts w:ascii="Consolas" w:cs="Consolas" w:eastAsia="Consolas" w:hAnsi="Consolas"/>
                <w:sz w:val="16"/>
                <w:szCs w:val="16"/>
              </w:rPr>
              <w:t xml:space="preserve">        uint256 minCollateralOutRfq;</w:t>
            </w:r>
          </w:p>
          <w:p>
            <w:pPr>
              <w:spacing w:after="0" w:line="240"/>
            </w:pPr>
            <w:r>
              <w:rPr>
                <w:rFonts w:ascii="Consolas" w:cs="Consolas" w:eastAsia="Consolas" w:hAnsi="Consolas"/>
                <w:sz w:val="16"/>
                <w:szCs w:val="16"/>
              </w:rPr>
              <w:t xml:space="preserve">        uint256 minCollateralOutFunder;</w:t>
            </w:r>
          </w:p>
          <w:p>
            <w:pPr>
              <w:spacing w:after="0" w:line="240"/>
            </w:pPr>
            <w:r>
              <w:rPr>
                <w:rFonts w:ascii="Consolas" w:cs="Consolas" w:eastAsia="Consolas" w:hAnsi="Consolas"/>
                <w:sz w:val="16"/>
                <w:szCs w:val="16"/>
              </w:rPr>
              <w:t xml:space="preserve">        uint256 decisionBlock;</w:t>
            </w:r>
          </w:p>
          <w:p>
            <w:pPr>
              <w:spacing w:after="0" w:line="240"/>
            </w:pPr>
            <w:r>
              <w:rPr>
                <w:rFonts w:ascii="Consolas" w:cs="Consolas" w:eastAsia="Consolas" w:hAnsi="Consolas"/>
                <w:sz w:val="16"/>
                <w:szCs w:val="16"/>
              </w:rPr>
              <w:t xml:space="preserve">        bytes32 decisionBlockHash;</w:t>
            </w:r>
          </w:p>
          <w:p>
            <w:pPr>
              <w:spacing w:after="0" w:line="240"/>
            </w:pPr>
            <w:r>
              <w:rPr>
                <w:rFonts w:ascii="Consolas" w:cs="Consolas" w:eastAsia="Consolas" w:hAnsi="Consolas"/>
                <w:sz w:val="16"/>
                <w:szCs w:val="16"/>
              </w:rPr>
              <w:t xml:space="preserve">        bytes fundingPayload;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function executeLiquidationRoute(LiquidationRoutePlan calldata plan)</w:t>
            </w:r>
          </w:p>
          <w:p>
            <w:pPr>
              <w:spacing w:after="0" w:line="240"/>
            </w:pPr>
            <w:r>
              <w:rPr>
                <w:rFonts w:ascii="Consolas" w:cs="Consolas" w:eastAsia="Consolas" w:hAnsi="Consolas"/>
                <w:sz w:val="16"/>
                <w:szCs w:val="16"/>
              </w:rPr>
              <w:t xml:space="preserve">        external</w:t>
            </w:r>
          </w:p>
          <w:p>
            <w:pPr>
              <w:spacing w:after="0" w:line="240"/>
            </w:pPr>
            <w:r>
              <w:rPr>
                <w:rFonts w:ascii="Consolas" w:cs="Consolas" w:eastAsia="Consolas" w:hAnsi="Consolas"/>
                <w:sz w:val="16"/>
                <w:szCs w:val="16"/>
              </w:rPr>
              <w:t xml:space="preserve">        returns (uint256 repaidAssets, uint256 collateralSeized, uint256 fee);</w:t>
            </w:r>
          </w:p>
          <w:p>
            <w:pPr>
              <w:spacing w:after="0" w:line="240"/>
            </w:pPr>
            <w:r>
              <w:rPr>
                <w:rFonts w:ascii="Consolas" w:cs="Consolas" w:eastAsia="Consolas" w:hAnsi="Consolas"/>
                <w:sz w:val="16"/>
                <w:szCs w:val="16"/>
              </w:rPr>
              <w:t xml:space="preserve">}</w:t>
            </w:r>
          </w:p>
        </w:tc>
      </w:tr>
    </w:tbl>
    <w:p>
      <w:pPr>
        <w:spacing w:after="120"/>
      </w:pPr>
    </w:p>
    <w:p>
      <w:pPr>
        <w:pStyle w:val="Heading2"/>
        <w:spacing w:after="120" w:before="260"/>
      </w:pPr>
      <w:bookmarkStart w:name="sec-7-3" w:id="40"/>
      <w:r>
        <w:rPr>
          <w:rFonts w:ascii="Arial" w:cs="Arial" w:eastAsia="Arial" w:hAnsi="Arial"/>
          <w:b/>
          <w:bCs/>
          <w:color w:val="1F4E79"/>
          <w:sz w:val="26"/>
          <w:szCs w:val="26"/>
        </w:rPr>
        <w:t xml:space="preserve">7.3 Facility aggregator</w:t>
      </w:r>
      <w:bookmarkEnd w:id="4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DDDDD" w:sz="4"/>
              <w:left w:val="single" w:color="1F4E79" w:sz="12"/>
              <w:bottom w:val="single" w:color="DDDDDD" w:sz="4"/>
              <w:right w:val="single" w:color="DDDDDD" w:sz="4"/>
            </w:tcBorders>
            <w:shd w:fill="F4F4F4" w:val="clear"/>
            <w:tcMar>
              <w:top w:type="dxa" w:w="80"/>
              <w:left w:type="dxa" w:w="120"/>
              <w:bottom w:type="dxa" w:w="80"/>
              <w:right w:type="dxa" w:w="120"/>
            </w:tcMar>
          </w:tcPr>
          <w:p>
            <w:pPr>
              <w:spacing w:after="0" w:line="240"/>
            </w:pPr>
            <w:r>
              <w:rPr>
                <w:rFonts w:ascii="Consolas" w:cs="Consolas" w:eastAsia="Consolas" w:hAnsi="Consolas"/>
                <w:sz w:val="16"/>
                <w:szCs w:val="16"/>
              </w:rPr>
              <w:t xml:space="preserve">interface IFacilityAggregator {</w:t>
            </w:r>
          </w:p>
          <w:p>
            <w:pPr>
              <w:spacing w:after="0" w:line="240"/>
            </w:pPr>
            <w:r>
              <w:rPr>
                <w:rFonts w:ascii="Consolas" w:cs="Consolas" w:eastAsia="Consolas" w:hAnsi="Consolas"/>
                <w:sz w:val="16"/>
                <w:szCs w:val="16"/>
              </w:rPr>
              <w:t xml:space="preserve">    struct FacilityQuote {</w:t>
            </w:r>
          </w:p>
          <w:p>
            <w:pPr>
              <w:spacing w:after="0" w:line="240"/>
            </w:pPr>
            <w:r>
              <w:rPr>
                <w:rFonts w:ascii="Consolas" w:cs="Consolas" w:eastAsia="Consolas" w:hAnsi="Consolas"/>
                <w:sz w:val="16"/>
                <w:szCs w:val="16"/>
              </w:rPr>
              <w:t xml:space="preserve">        address facility;</w:t>
            </w:r>
          </w:p>
          <w:p>
            <w:pPr>
              <w:spacing w:after="0" w:line="240"/>
            </w:pPr>
            <w:r>
              <w:rPr>
                <w:rFonts w:ascii="Consolas" w:cs="Consolas" w:eastAsia="Consolas" w:hAnsi="Consolas"/>
                <w:sz w:val="16"/>
                <w:szCs w:val="16"/>
              </w:rPr>
              <w:t xml:space="preserve">        uint256 quoteUsdc;</w:t>
            </w:r>
          </w:p>
          <w:p>
            <w:pPr>
              <w:spacing w:after="0" w:line="240"/>
            </w:pPr>
            <w:r>
              <w:rPr>
                <w:rFonts w:ascii="Consolas" w:cs="Consolas" w:eastAsia="Consolas" w:hAnsi="Consolas"/>
                <w:sz w:val="16"/>
                <w:szCs w:val="16"/>
              </w:rPr>
              <w:t xml:space="preserve">        uint256 haircutWad;</w:t>
            </w:r>
          </w:p>
          <w:p>
            <w:pPr>
              <w:spacing w:after="0" w:line="240"/>
            </w:pPr>
            <w:r>
              <w:rPr>
                <w:rFonts w:ascii="Consolas" w:cs="Consolas" w:eastAsia="Consolas" w:hAnsi="Consolas"/>
                <w:sz w:val="16"/>
                <w:szCs w:val="16"/>
              </w:rPr>
              <w:t xml:space="preserve">        uint256 snapshotBlock;</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function registerFacility(</w:t>
            </w:r>
          </w:p>
          <w:p>
            <w:pPr>
              <w:spacing w:after="0" w:line="240"/>
            </w:pPr>
            <w:r>
              <w:rPr>
                <w:rFonts w:ascii="Consolas" w:cs="Consolas" w:eastAsia="Consolas" w:hAnsi="Consolas"/>
                <w:sz w:val="16"/>
                <w:szCs w:val="16"/>
              </w:rPr>
              <w:t xml:space="preserve">        address curator,</w:t>
            </w:r>
          </w:p>
          <w:p>
            <w:pPr>
              <w:spacing w:after="0" w:line="240"/>
            </w:pPr>
            <w:r>
              <w:rPr>
                <w:rFonts w:ascii="Consolas" w:cs="Consolas" w:eastAsia="Consolas" w:hAnsi="Consolas"/>
                <w:sz w:val="16"/>
                <w:szCs w:val="16"/>
              </w:rPr>
              <w:t xml:space="preserve">        address facility,</w:t>
            </w:r>
          </w:p>
          <w:p>
            <w:pPr>
              <w:spacing w:after="0" w:line="240"/>
            </w:pPr>
            <w:r>
              <w:rPr>
                <w:rFonts w:ascii="Consolas" w:cs="Consolas" w:eastAsia="Consolas" w:hAnsi="Consolas"/>
                <w:sz w:val="16"/>
                <w:szCs w:val="16"/>
              </w:rPr>
              <w:t xml:space="preserve">        address[] calldata assets</w:t>
            </w:r>
          </w:p>
          <w:p>
            <w:pPr>
              <w:spacing w:after="0" w:line="240"/>
            </w:pPr>
            <w:r>
              <w:rPr>
                <w:rFonts w:ascii="Consolas" w:cs="Consolas" w:eastAsia="Consolas" w:hAnsi="Consolas"/>
                <w:sz w:val="16"/>
                <w:szCs w:val="16"/>
              </w:rPr>
              <w:t xml:space="preserve">    ) external;</w:t>
            </w:r>
          </w:p>
          <w:p>
            <w:pPr>
              <w:spacing w:after="0" w:line="240"/>
            </w:pPr>
            <w:r>
              <w:rPr>
                <w:rFonts w:ascii="Consolas" w:cs="Consolas" w:eastAsia="Consolas" w:hAnsi="Consolas"/>
                <w:sz w:val="16"/>
                <w:szCs w:val="16"/>
              </w:rPr>
              <w:t xml:space="preserve">    function pauseFacility(address facility) external;</w:t>
            </w:r>
          </w:p>
          <w:p>
            <w:pPr>
              <w:spacing w:after="0" w:line="240"/>
            </w:pPr>
            <w:r>
              <w:rPr>
                <w:rFonts w:ascii="Consolas" w:cs="Consolas" w:eastAsia="Consolas" w:hAnsi="Consolas"/>
                <w:sz w:val="16"/>
                <w:szCs w:val="16"/>
              </w:rPr>
              <w:t xml:space="preserve">    function revokeFacility(address facility) external;</w:t>
            </w:r>
          </w:p>
          <w:p>
            <w:pPr>
              <w:spacing w:after="0" w:line="240"/>
            </w:pPr>
            <w:r>
              <w:rPr>
                <w:rFonts w:ascii="Consolas" w:cs="Consolas" w:eastAsia="Consolas" w:hAnsi="Consolas"/>
                <w:sz w:val="16"/>
                <w:szCs w:val="16"/>
              </w:rPr>
              <w:t xml:space="preserve">    function quote(</w:t>
            </w:r>
          </w:p>
          <w:p>
            <w:pPr>
              <w:spacing w:after="0" w:line="240"/>
            </w:pPr>
            <w:r>
              <w:rPr>
                <w:rFonts w:ascii="Consolas" w:cs="Consolas" w:eastAsia="Consolas" w:hAnsi="Consolas"/>
                <w:sz w:val="16"/>
                <w:szCs w:val="16"/>
              </w:rPr>
              <w:t xml:space="preserve">        address debtAsset,</w:t>
            </w:r>
          </w:p>
          <w:p>
            <w:pPr>
              <w:spacing w:after="0" w:line="240"/>
            </w:pPr>
            <w:r>
              <w:rPr>
                <w:rFonts w:ascii="Consolas" w:cs="Consolas" w:eastAsia="Consolas" w:hAnsi="Consolas"/>
                <w:sz w:val="16"/>
                <w:szCs w:val="16"/>
              </w:rPr>
              <w:t xml:space="preserve">        address collateralAsset,</w:t>
            </w:r>
          </w:p>
          <w:p>
            <w:pPr>
              <w:spacing w:after="0" w:line="240"/>
            </w:pPr>
            <w:r>
              <w:rPr>
                <w:rFonts w:ascii="Consolas" w:cs="Consolas" w:eastAsia="Consolas" w:hAnsi="Consolas"/>
                <w:sz w:val="16"/>
                <w:szCs w:val="16"/>
              </w:rPr>
              <w:t xml:space="preserve">        uint256 repayAssets</w:t>
            </w:r>
          </w:p>
          <w:p>
            <w:pPr>
              <w:spacing w:after="0" w:line="240"/>
            </w:pPr>
            <w:r>
              <w:rPr>
                <w:rFonts w:ascii="Consolas" w:cs="Consolas" w:eastAsia="Consolas" w:hAnsi="Consolas"/>
                <w:sz w:val="16"/>
                <w:szCs w:val="16"/>
              </w:rPr>
              <w:t xml:space="preserve">    ) external view returns (FacilityQuote[] memory);</w:t>
            </w:r>
          </w:p>
          <w:p>
            <w:pPr>
              <w:spacing w:after="0" w:line="240"/>
            </w:pPr>
            <w:r>
              <w:rPr>
                <w:rFonts w:ascii="Consolas" w:cs="Consolas" w:eastAsia="Consolas" w:hAnsi="Consolas"/>
                <w:sz w:val="16"/>
                <w:szCs w:val="16"/>
              </w:rPr>
              <w:t xml:space="preserve">    function fill(</w:t>
            </w:r>
          </w:p>
          <w:p>
            <w:pPr>
              <w:spacing w:after="0" w:line="240"/>
            </w:pPr>
            <w:r>
              <w:rPr>
                <w:rFonts w:ascii="Consolas" w:cs="Consolas" w:eastAsia="Consolas" w:hAnsi="Consolas"/>
                <w:sz w:val="16"/>
                <w:szCs w:val="16"/>
              </w:rPr>
              <w:t xml:space="preserve">        address facility,</w:t>
            </w:r>
          </w:p>
          <w:p>
            <w:pPr>
              <w:spacing w:after="0" w:line="240"/>
            </w:pPr>
            <w:r>
              <w:rPr>
                <w:rFonts w:ascii="Consolas" w:cs="Consolas" w:eastAsia="Consolas" w:hAnsi="Consolas"/>
                <w:sz w:val="16"/>
                <w:szCs w:val="16"/>
              </w:rPr>
              <w:t xml:space="preserve">        uint256 repayAssets,</w:t>
            </w:r>
          </w:p>
          <w:p>
            <w:pPr>
              <w:spacing w:after="0" w:line="240"/>
            </w:pPr>
            <w:r>
              <w:rPr>
                <w:rFonts w:ascii="Consolas" w:cs="Consolas" w:eastAsia="Consolas" w:hAnsi="Consolas"/>
                <w:sz w:val="16"/>
                <w:szCs w:val="16"/>
              </w:rPr>
              <w:t xml:space="preserve">        address recipient</w:t>
            </w:r>
          </w:p>
          <w:p>
            <w:pPr>
              <w:spacing w:after="0" w:line="240"/>
            </w:pPr>
            <w:r>
              <w:rPr>
                <w:rFonts w:ascii="Consolas" w:cs="Consolas" w:eastAsia="Consolas" w:hAnsi="Consolas"/>
                <w:sz w:val="16"/>
                <w:szCs w:val="16"/>
              </w:rPr>
              <w:t xml:space="preserve">    ) external returns (uint256 fundedUsdc);</w:t>
            </w:r>
          </w:p>
          <w:p>
            <w:pPr>
              <w:spacing w:after="0" w:line="240"/>
            </w:pPr>
            <w:r>
              <w:rPr>
                <w:rFonts w:ascii="Consolas" w:cs="Consolas" w:eastAsia="Consolas" w:hAnsi="Consolas"/>
                <w:sz w:val="16"/>
                <w:szCs w:val="16"/>
              </w:rPr>
              <w:t xml:space="preserve">}</w:t>
            </w:r>
          </w:p>
        </w:tc>
      </w:tr>
    </w:tbl>
    <w:p>
      <w:pPr>
        <w:spacing w:after="120"/>
      </w:pPr>
    </w:p>
    <w:p>
      <w:pPr>
        <w:pStyle w:val="Heading2"/>
        <w:spacing w:after="120" w:before="260"/>
      </w:pPr>
      <w:bookmarkStart w:name="sec-7-4" w:id="41"/>
      <w:r>
        <w:rPr>
          <w:rFonts w:ascii="Arial" w:cs="Arial" w:eastAsia="Arial" w:hAnsi="Arial"/>
          <w:b/>
          <w:bCs/>
          <w:color w:val="1F4E79"/>
          <w:sz w:val="26"/>
          <w:szCs w:val="26"/>
        </w:rPr>
        <w:t xml:space="preserve">7.4 Liquidity facility</w:t>
      </w:r>
      <w:bookmarkEnd w:id="4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DDDDD" w:sz="4"/>
              <w:left w:val="single" w:color="1F4E79" w:sz="12"/>
              <w:bottom w:val="single" w:color="DDDDDD" w:sz="4"/>
              <w:right w:val="single" w:color="DDDDDD" w:sz="4"/>
            </w:tcBorders>
            <w:shd w:fill="F4F4F4" w:val="clear"/>
            <w:tcMar>
              <w:top w:type="dxa" w:w="80"/>
              <w:left w:type="dxa" w:w="120"/>
              <w:bottom w:type="dxa" w:w="80"/>
              <w:right w:type="dxa" w:w="120"/>
            </w:tcMar>
          </w:tcPr>
          <w:p>
            <w:pPr>
              <w:spacing w:after="0" w:line="240"/>
            </w:pPr>
            <w:r>
              <w:rPr>
                <w:rFonts w:ascii="Consolas" w:cs="Consolas" w:eastAsia="Consolas" w:hAnsi="Consolas"/>
                <w:sz w:val="16"/>
                <w:szCs w:val="16"/>
              </w:rPr>
              <w:t xml:space="preserve">interface ILiquidityFacility {</w:t>
            </w:r>
          </w:p>
          <w:p>
            <w:pPr>
              <w:spacing w:after="0" w:line="240"/>
            </w:pPr>
            <w:r>
              <w:rPr>
                <w:rFonts w:ascii="Consolas" w:cs="Consolas" w:eastAsia="Consolas" w:hAnsi="Consolas"/>
                <w:sz w:val="16"/>
                <w:szCs w:val="16"/>
              </w:rPr>
              <w:t xml:space="preserve">    function deposit(uint256 assets, address receiver)</w:t>
            </w:r>
          </w:p>
          <w:p>
            <w:pPr>
              <w:spacing w:after="0" w:line="240"/>
            </w:pPr>
            <w:r>
              <w:rPr>
                <w:rFonts w:ascii="Consolas" w:cs="Consolas" w:eastAsia="Consolas" w:hAnsi="Consolas"/>
                <w:sz w:val="16"/>
                <w:szCs w:val="16"/>
              </w:rPr>
              <w:t xml:space="preserve">        external returns (uint256 shares);</w:t>
            </w:r>
          </w:p>
          <w:p>
            <w:pPr>
              <w:spacing w:after="0" w:line="240"/>
            </w:pPr>
            <w:r>
              <w:rPr>
                <w:rFonts w:ascii="Consolas" w:cs="Consolas" w:eastAsia="Consolas" w:hAnsi="Consolas"/>
                <w:sz w:val="16"/>
                <w:szCs w:val="16"/>
              </w:rPr>
              <w:t xml:space="preserve">    function withdraw(uint256 assets, address receiver, address owner)</w:t>
            </w:r>
          </w:p>
          <w:p>
            <w:pPr>
              <w:spacing w:after="0" w:line="240"/>
            </w:pPr>
            <w:r>
              <w:rPr>
                <w:rFonts w:ascii="Consolas" w:cs="Consolas" w:eastAsia="Consolas" w:hAnsi="Consolas"/>
                <w:sz w:val="16"/>
                <w:szCs w:val="16"/>
              </w:rPr>
              <w:t xml:space="preserve">        external returns (uint256 shares);</w:t>
            </w:r>
          </w:p>
          <w:p>
            <w:pPr>
              <w:spacing w:after="0" w:line="240"/>
            </w:pPr>
            <w:r>
              <w:rPr>
                <w:rFonts w:ascii="Consolas" w:cs="Consolas" w:eastAsia="Consolas" w:hAnsi="Consolas"/>
                <w:sz w:val="16"/>
                <w:szCs w:val="16"/>
              </w:rPr>
              <w:t xml:space="preserve">    function requestWithdraw(uint256 assets)</w:t>
            </w:r>
          </w:p>
          <w:p>
            <w:pPr>
              <w:spacing w:after="0" w:line="240"/>
            </w:pPr>
            <w:r>
              <w:rPr>
                <w:rFonts w:ascii="Consolas" w:cs="Consolas" w:eastAsia="Consolas" w:hAnsi="Consolas"/>
                <w:sz w:val="16"/>
                <w:szCs w:val="16"/>
              </w:rPr>
              <w:t xml:space="preserve">        external returns (uint256 requestId);</w:t>
            </w:r>
          </w:p>
          <w:p>
            <w:pPr>
              <w:spacing w:after="0" w:line="240"/>
            </w:pPr>
            <w:r>
              <w:rPr>
                <w:rFonts w:ascii="Consolas" w:cs="Consolas" w:eastAsia="Consolas" w:hAnsi="Consolas"/>
                <w:sz w:val="16"/>
                <w:szCs w:val="16"/>
              </w:rPr>
              <w:t xml:space="preserve">    function claimWithdraw(uint256 requestId)</w:t>
            </w:r>
          </w:p>
          <w:p>
            <w:pPr>
              <w:spacing w:after="0" w:line="240"/>
            </w:pPr>
            <w:r>
              <w:rPr>
                <w:rFonts w:ascii="Consolas" w:cs="Consolas" w:eastAsia="Consolas" w:hAnsi="Consolas"/>
                <w:sz w:val="16"/>
                <w:szCs w:val="16"/>
              </w:rPr>
              <w:t xml:space="preserve">        external returns (uint256 assets);</w:t>
            </w:r>
          </w:p>
          <w:p>
            <w:pPr>
              <w:spacing w:after="0" w:line="240"/>
            </w:pPr>
            <w:r>
              <w:rPr>
                <w:rFonts w:ascii="Consolas" w:cs="Consolas" w:eastAsia="Consolas" w:hAnsi="Consolas"/>
                <w:sz w:val="16"/>
                <w:szCs w:val="16"/>
              </w:rPr>
              <w:t xml:space="preserve">    function quoteUsdcCapacity() external view returns (uint256);</w:t>
            </w:r>
          </w:p>
          <w:p>
            <w:pPr>
              <w:spacing w:after="0" w:line="240"/>
            </w:pPr>
            <w:r>
              <w:rPr>
                <w:rFonts w:ascii="Consolas" w:cs="Consolas" w:eastAsia="Consolas" w:hAnsi="Consolas"/>
                <w:sz w:val="16"/>
                <w:szCs w:val="16"/>
              </w:rPr>
              <w:t xml:space="preserve">    function fundLiquidation(uint256 repayAssets, address recipient)</w:t>
            </w:r>
          </w:p>
          <w:p>
            <w:pPr>
              <w:spacing w:after="0" w:line="240"/>
            </w:pPr>
            <w:r>
              <w:rPr>
                <w:rFonts w:ascii="Consolas" w:cs="Consolas" w:eastAsia="Consolas" w:hAnsi="Consolas"/>
                <w:sz w:val="16"/>
                <w:szCs w:val="16"/>
              </w:rPr>
              <w:t xml:space="preserve">        external returns (uint256 fundedUsdc);</w:t>
            </w:r>
          </w:p>
          <w:p>
            <w:pPr>
              <w:spacing w:after="0" w:line="240"/>
            </w:pPr>
            <w:r>
              <w:rPr>
                <w:rFonts w:ascii="Consolas" w:cs="Consolas" w:eastAsia="Consolas" w:hAnsi="Consolas"/>
                <w:sz w:val="16"/>
                <w:szCs w:val="16"/>
              </w:rPr>
              <w:t xml:space="preserve">    function allocate(address adapter, uint256 assets) external;</w:t>
            </w:r>
          </w:p>
          <w:p>
            <w:pPr>
              <w:spacing w:after="0" w:line="240"/>
            </w:pPr>
            <w:r>
              <w:rPr>
                <w:rFonts w:ascii="Consolas" w:cs="Consolas" w:eastAsia="Consolas" w:hAnsi="Consolas"/>
                <w:sz w:val="16"/>
                <w:szCs w:val="16"/>
              </w:rPr>
              <w:t xml:space="preserve">    function deallocate(address adapter, uint256 assets) external;</w:t>
            </w:r>
          </w:p>
          <w:p>
            <w:pPr>
              <w:spacing w:after="0" w:line="240"/>
            </w:pPr>
            <w:r>
              <w:rPr>
                <w:rFonts w:ascii="Consolas" w:cs="Consolas" w:eastAsia="Consolas" w:hAnsi="Consolas"/>
                <w:sz w:val="16"/>
                <w:szCs w:val="16"/>
              </w:rPr>
              <w:t xml:space="preserve">}</w:t>
            </w:r>
          </w:p>
        </w:tc>
      </w:tr>
    </w:tbl>
    <w:p>
      <w:pPr>
        <w:spacing w:after="120"/>
      </w:pPr>
    </w:p>
    <w:p>
      <w:pPr>
        <w:pStyle w:val="Heading2"/>
        <w:spacing w:after="120" w:before="260"/>
      </w:pPr>
      <w:bookmarkStart w:name="sec-7-5" w:id="42"/>
      <w:r>
        <w:rPr>
          <w:rFonts w:ascii="Arial" w:cs="Arial" w:eastAsia="Arial" w:hAnsi="Arial"/>
          <w:b/>
          <w:bCs/>
          <w:color w:val="1F4E79"/>
          <w:sz w:val="26"/>
          <w:szCs w:val="26"/>
        </w:rPr>
        <w:t xml:space="preserve">7.5 Adapters and guards</w:t>
      </w:r>
      <w:bookmarkEnd w:id="4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DDDDD" w:sz="4"/>
              <w:left w:val="single" w:color="1F4E79" w:sz="12"/>
              <w:bottom w:val="single" w:color="DDDDDD" w:sz="4"/>
              <w:right w:val="single" w:color="DDDDDD" w:sz="4"/>
            </w:tcBorders>
            <w:shd w:fill="F4F4F4" w:val="clear"/>
            <w:tcMar>
              <w:top w:type="dxa" w:w="80"/>
              <w:left w:type="dxa" w:w="120"/>
              <w:bottom w:type="dxa" w:w="80"/>
              <w:right w:type="dxa" w:w="120"/>
            </w:tcMar>
          </w:tcPr>
          <w:p>
            <w:pPr>
              <w:spacing w:after="0" w:line="240"/>
            </w:pPr>
            <w:r>
              <w:rPr>
                <w:rFonts w:ascii="Consolas" w:cs="Consolas" w:eastAsia="Consolas" w:hAnsi="Consolas"/>
                <w:sz w:val="16"/>
                <w:szCs w:val="16"/>
              </w:rPr>
              <w:t xml:space="preserve">interface IFacilityAdapter {</w:t>
            </w:r>
          </w:p>
          <w:p>
            <w:pPr>
              <w:spacing w:after="0" w:line="240"/>
            </w:pPr>
            <w:r>
              <w:rPr>
                <w:rFonts w:ascii="Consolas" w:cs="Consolas" w:eastAsia="Consolas" w:hAnsi="Consolas"/>
                <w:sz w:val="16"/>
                <w:szCs w:val="16"/>
              </w:rPr>
              <w:t xml:space="preserve">    function asset() external view returns (address);</w:t>
            </w:r>
          </w:p>
          <w:p>
            <w:pPr>
              <w:spacing w:after="0" w:line="240"/>
            </w:pPr>
            <w:r>
              <w:rPr>
                <w:rFonts w:ascii="Consolas" w:cs="Consolas" w:eastAsia="Consolas" w:hAnsi="Consolas"/>
                <w:sz w:val="16"/>
                <w:szCs w:val="16"/>
              </w:rPr>
              <w:t xml:space="preserve">    function deposit(uint256 assets) external returns (uint256 deployed);</w:t>
            </w:r>
          </w:p>
          <w:p>
            <w:pPr>
              <w:spacing w:after="0" w:line="240"/>
            </w:pPr>
            <w:r>
              <w:rPr>
                <w:rFonts w:ascii="Consolas" w:cs="Consolas" w:eastAsia="Consolas" w:hAnsi="Consolas"/>
                <w:sz w:val="16"/>
                <w:szCs w:val="16"/>
              </w:rPr>
              <w:t xml:space="preserve">    function withdraw(uint256 assets, address receiver)</w:t>
            </w:r>
          </w:p>
          <w:p>
            <w:pPr>
              <w:spacing w:after="0" w:line="240"/>
            </w:pPr>
            <w:r>
              <w:rPr>
                <w:rFonts w:ascii="Consolas" w:cs="Consolas" w:eastAsia="Consolas" w:hAnsi="Consolas"/>
                <w:sz w:val="16"/>
                <w:szCs w:val="16"/>
              </w:rPr>
              <w:t xml:space="preserve">        external returns (uint256 returned);</w:t>
            </w:r>
          </w:p>
          <w:p>
            <w:pPr>
              <w:spacing w:after="0" w:line="240"/>
            </w:pPr>
            <w:r>
              <w:rPr>
                <w:rFonts w:ascii="Consolas" w:cs="Consolas" w:eastAsia="Consolas" w:hAnsi="Consolas"/>
                <w:sz w:val="16"/>
                <w:szCs w:val="16"/>
              </w:rPr>
              <w:t xml:space="preserve">    function totalAssets() external view returns (uint256);</w:t>
            </w:r>
          </w:p>
          <w:p>
            <w:pPr>
              <w:spacing w:after="0" w:line="240"/>
            </w:pPr>
            <w:r>
              <w:rPr>
                <w:rFonts w:ascii="Consolas" w:cs="Consolas" w:eastAsia="Consolas" w:hAnsi="Consolas"/>
                <w:sz w:val="16"/>
                <w:szCs w:val="16"/>
              </w:rPr>
              <w:t xml:space="preserve">    function maxWithdraw() external view returns (uint256);</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interface ILiquidationAdapter {</w:t>
            </w:r>
          </w:p>
          <w:p>
            <w:pPr>
              <w:spacing w:after="0" w:line="240"/>
            </w:pPr>
            <w:r>
              <w:rPr>
                <w:rFonts w:ascii="Consolas" w:cs="Consolas" w:eastAsia="Consolas" w:hAnsi="Consolas"/>
                <w:sz w:val="16"/>
                <w:szCs w:val="16"/>
              </w:rPr>
              <w:t xml:space="preserve">    struct Request {</w:t>
            </w:r>
          </w:p>
          <w:p>
            <w:pPr>
              <w:spacing w:after="0" w:line="240"/>
            </w:pPr>
            <w:r>
              <w:rPr>
                <w:rFonts w:ascii="Consolas" w:cs="Consolas" w:eastAsia="Consolas" w:hAnsi="Consolas"/>
                <w:sz w:val="16"/>
                <w:szCs w:val="16"/>
              </w:rPr>
              <w:t xml:space="preserve">        bytes32 marketId;</w:t>
            </w:r>
          </w:p>
          <w:p>
            <w:pPr>
              <w:spacing w:after="0" w:line="240"/>
            </w:pPr>
            <w:r>
              <w:rPr>
                <w:rFonts w:ascii="Consolas" w:cs="Consolas" w:eastAsia="Consolas" w:hAnsi="Consolas"/>
                <w:sz w:val="16"/>
                <w:szCs w:val="16"/>
              </w:rPr>
              <w:t xml:space="preserve">        address borrower;</w:t>
            </w:r>
          </w:p>
          <w:p>
            <w:pPr>
              <w:spacing w:after="0" w:line="240"/>
            </w:pPr>
            <w:r>
              <w:rPr>
                <w:rFonts w:ascii="Consolas" w:cs="Consolas" w:eastAsia="Consolas" w:hAnsi="Consolas"/>
                <w:sz w:val="16"/>
                <w:szCs w:val="16"/>
              </w:rPr>
              <w:t xml:space="preserve">        address debtAsset;</w:t>
            </w:r>
          </w:p>
          <w:p>
            <w:pPr>
              <w:spacing w:after="0" w:line="240"/>
            </w:pPr>
            <w:r>
              <w:rPr>
                <w:rFonts w:ascii="Consolas" w:cs="Consolas" w:eastAsia="Consolas" w:hAnsi="Consolas"/>
                <w:sz w:val="16"/>
                <w:szCs w:val="16"/>
              </w:rPr>
              <w:t xml:space="preserve">        address collateralAsset;</w:t>
            </w:r>
          </w:p>
          <w:p>
            <w:pPr>
              <w:spacing w:after="0" w:line="240"/>
            </w:pPr>
            <w:r>
              <w:rPr>
                <w:rFonts w:ascii="Consolas" w:cs="Consolas" w:eastAsia="Consolas" w:hAnsi="Consolas"/>
                <w:sz w:val="16"/>
                <w:szCs w:val="16"/>
              </w:rPr>
              <w:t xml:space="preserve">        uint256 maxRepayAssets;</w:t>
            </w:r>
          </w:p>
          <w:p>
            <w:pPr>
              <w:spacing w:after="0" w:line="240"/>
            </w:pPr>
            <w:r>
              <w:rPr>
                <w:rFonts w:ascii="Consolas" w:cs="Consolas" w:eastAsia="Consolas" w:hAnsi="Consolas"/>
                <w:sz w:val="16"/>
                <w:szCs w:val="16"/>
              </w:rPr>
              <w:t xml:space="preserve">        uint256 minCollateralOut;</w:t>
            </w:r>
          </w:p>
          <w:p>
            <w:pPr>
              <w:spacing w:after="0" w:line="240"/>
            </w:pPr>
            <w:r>
              <w:rPr>
                <w:rFonts w:ascii="Consolas" w:cs="Consolas" w:eastAsia="Consolas" w:hAnsi="Consolas"/>
                <w:sz w:val="16"/>
                <w:szCs w:val="16"/>
              </w:rPr>
              <w:t xml:space="preserve">        address recipient;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function liquidate(Request calldata request)</w:t>
            </w:r>
          </w:p>
          <w:p>
            <w:pPr>
              <w:spacing w:after="0" w:line="240"/>
            </w:pPr>
            <w:r>
              <w:rPr>
                <w:rFonts w:ascii="Consolas" w:cs="Consolas" w:eastAsia="Consolas" w:hAnsi="Consolas"/>
                <w:sz w:val="16"/>
                <w:szCs w:val="16"/>
              </w:rPr>
              <w:t xml:space="preserve">        external returns (uint256 repaidAssets, uint256 collateralSeized);</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interface IOracleGuard {</w:t>
            </w:r>
          </w:p>
          <w:p>
            <w:pPr>
              <w:spacing w:after="0" w:line="240"/>
            </w:pPr>
            <w:r>
              <w:rPr>
                <w:rFonts w:ascii="Consolas" w:cs="Consolas" w:eastAsia="Consolas" w:hAnsi="Consolas"/>
                <w:sz w:val="16"/>
                <w:szCs w:val="16"/>
              </w:rPr>
              <w:t xml:space="preserve">    function requireFresh(address asset) external view;</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interface IB20Guard {</w:t>
            </w:r>
          </w:p>
          <w:p>
            <w:pPr>
              <w:spacing w:after="0" w:line="240"/>
            </w:pPr>
            <w:r>
              <w:rPr>
                <w:rFonts w:ascii="Consolas" w:cs="Consolas" w:eastAsia="Consolas" w:hAnsi="Consolas"/>
                <w:sz w:val="16"/>
                <w:szCs w:val="16"/>
              </w:rPr>
              <w:t xml:space="preserve">    function requireTransferAndSeizeLive(address token) external view;</w:t>
            </w:r>
          </w:p>
          <w:p>
            <w:pPr>
              <w:spacing w:after="0" w:line="240"/>
            </w:pPr>
            <w:r>
              <w:rPr>
                <w:rFonts w:ascii="Consolas" w:cs="Consolas" w:eastAsia="Consolas" w:hAnsi="Consolas"/>
                <w:sz w:val="16"/>
                <w:szCs w:val="16"/>
              </w:rPr>
              <w:t xml:space="preserve">    function requireAuthorized(address token, address account) external view;</w:t>
            </w:r>
          </w:p>
          <w:p>
            <w:pPr>
              <w:spacing w:after="0" w:line="240"/>
            </w:pPr>
            <w:r>
              <w:rPr>
                <w:rFonts w:ascii="Consolas" w:cs="Consolas" w:eastAsia="Consolas" w:hAnsi="Consolas"/>
                <w:sz w:val="16"/>
                <w:szCs w:val="16"/>
              </w:rPr>
              <w:t xml:space="preserve">    function multiplierWad(address token) external view returns (uint256);</w:t>
            </w:r>
          </w:p>
          <w:p>
            <w:pPr>
              <w:spacing w:after="0" w:line="240"/>
            </w:pPr>
            <w:r>
              <w:rPr>
                <w:rFonts w:ascii="Consolas" w:cs="Consolas" w:eastAsia="Consolas" w:hAnsi="Consolas"/>
                <w:sz w:val="16"/>
                <w:szCs w:val="16"/>
              </w:rPr>
              <w:t xml:space="preserve">}</w:t>
            </w:r>
          </w:p>
        </w:tc>
      </w:tr>
    </w:tbl>
    <w:p>
      <w:pPr>
        <w:pStyle w:val="Heading1"/>
        <w:pBdr>
          <w:bottom w:val="single" w:color="1F4E79" w:sz="8" w:space="4"/>
        </w:pBdr>
        <w:spacing w:after="160" w:before="320"/>
      </w:pPr>
      <w:bookmarkStart w:name="sec-8" w:id="43"/>
      <w:r>
        <w:rPr>
          <w:rFonts w:ascii="Arial" w:cs="Arial" w:eastAsia="Arial" w:hAnsi="Arial"/>
          <w:b/>
          <w:bCs/>
          <w:color w:val="1F4E79"/>
          <w:sz w:val="32"/>
          <w:szCs w:val="32"/>
        </w:rPr>
        <w:t xml:space="preserve">8. Storage layout</w:t>
      </w:r>
      <w:bookmarkEnd w:id="43"/>
    </w:p>
    <w:p>
      <w:pPr>
        <w:spacing w:after="160" w:before="0" w:line="276"/>
      </w:pPr>
      <w:r>
        <w:rPr>
          <w:rFonts w:ascii="Arial" w:cs="Arial" w:eastAsia="Arial" w:hAnsi="Arial"/>
          <w:sz w:val="22"/>
          <w:szCs w:val="22"/>
        </w:rPr>
        <w:t xml:space="preserve">Critical mappings are not packed with frequently mutated counters. Chain state is authoritative for funds.</w:t>
      </w:r>
    </w:p>
    <w:p>
      <w:pPr>
        <w:pStyle w:val="Heading2"/>
        <w:spacing w:after="120" w:before="260"/>
      </w:pPr>
      <w:bookmarkStart w:name="sec-8-1" w:id="44"/>
      <w:r>
        <w:rPr>
          <w:rFonts w:ascii="Arial" w:cs="Arial" w:eastAsia="Arial" w:hAnsi="Arial"/>
          <w:b/>
          <w:bCs/>
          <w:color w:val="1F4E79"/>
          <w:sz w:val="26"/>
          <w:szCs w:val="26"/>
        </w:rPr>
        <w:t xml:space="preserve">8.1 Settlement</w:t>
      </w:r>
      <w:bookmarkEnd w:id="4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cantSplit/>
          <w:tblHeader/>
        </w:trPr>
        <w:tc>
          <w:tcPr>
            <w:tcW w:type="dxa" w:w="28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Slot / mapping</w:t>
            </w:r>
          </w:p>
        </w:tc>
        <w:tc>
          <w:tcPr>
            <w:tcW w:type="dxa" w:w="22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Type</w:t>
            </w:r>
          </w:p>
        </w:tc>
        <w:tc>
          <w:tcPr>
            <w:tcW w:type="dxa" w:w="436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Data</w:t>
            </w:r>
          </w:p>
        </w:tc>
      </w:tr>
      <w:tr>
        <w:trPr>
          <w:cantSplit/>
        </w:trPr>
        <w:tc>
          <w:tcPr>
            <w:tcW w:type="dxa" w:w="2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admin</w:t>
            </w:r>
          </w:p>
        </w:tc>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address</w:t>
            </w:r>
          </w:p>
        </w:tc>
        <w:tc>
          <w:tcPr>
            <w:tcW w:type="dxa" w:w="43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Owner</w:t>
            </w:r>
          </w:p>
        </w:tc>
      </w:tr>
      <w:tr>
        <w:trPr>
          <w:cantSplit/>
        </w:trPr>
        <w:tc>
          <w:tcPr>
            <w:tcW w:type="dxa" w:w="2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usdc</w:t>
            </w:r>
          </w:p>
        </w:tc>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address</w:t>
            </w:r>
          </w:p>
        </w:tc>
        <w:tc>
          <w:tcPr>
            <w:tcW w:type="dxa" w:w="43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Native Circle USDC</w:t>
            </w:r>
          </w:p>
        </w:tc>
      </w:tr>
      <w:tr>
        <w:trPr>
          <w:cantSplit/>
        </w:trPr>
        <w:tc>
          <w:tcPr>
            <w:tcW w:type="dxa" w:w="2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filled</w:t>
            </w:r>
          </w:p>
        </w:tc>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mapping(bytes32 =&gt; uint256)</w:t>
            </w:r>
          </w:p>
        </w:tc>
        <w:tc>
          <w:tcPr>
            <w:tcW w:type="dxa" w:w="43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Filled repay per order hash</w:t>
            </w:r>
          </w:p>
        </w:tc>
      </w:tr>
      <w:tr>
        <w:trPr>
          <w:cantSplit/>
        </w:trPr>
        <w:tc>
          <w:tcPr>
            <w:tcW w:type="dxa" w:w="2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orderSigners</w:t>
            </w:r>
          </w:p>
        </w:tc>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mapping(address =&gt; mapping(address =&gt; bool))</w:t>
            </w:r>
          </w:p>
        </w:tc>
        <w:tc>
          <w:tcPr>
            <w:tcW w:type="dxa" w:w="43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Delegated signers</w:t>
            </w:r>
          </w:p>
        </w:tc>
      </w:tr>
      <w:tr>
        <w:trPr>
          <w:cantSplit/>
        </w:trPr>
        <w:tc>
          <w:tcPr>
            <w:tcW w:type="dxa" w:w="2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cancelledSalt</w:t>
            </w:r>
          </w:p>
        </w:tc>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mapping(bytes32 =&gt; uint256)</w:t>
            </w:r>
          </w:p>
        </w:tc>
        <w:tc>
          <w:tcPr>
            <w:tcW w:type="dxa" w:w="43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Pair-scoped min salt</w:t>
            </w:r>
          </w:p>
        </w:tc>
      </w:tr>
    </w:tbl>
    <w:p>
      <w:pPr>
        <w:spacing w:after="120"/>
      </w:pPr>
    </w:p>
    <w:p>
      <w:pPr>
        <w:pStyle w:val="Heading2"/>
        <w:spacing w:after="120" w:before="260"/>
      </w:pPr>
      <w:bookmarkStart w:name="sec-8-2" w:id="45"/>
      <w:r>
        <w:rPr>
          <w:rFonts w:ascii="Arial" w:cs="Arial" w:eastAsia="Arial" w:hAnsi="Arial"/>
          <w:b/>
          <w:bCs/>
          <w:color w:val="1F4E79"/>
          <w:sz w:val="26"/>
          <w:szCs w:val="26"/>
        </w:rPr>
        <w:t xml:space="preserve">8.2 RFQ router</w:t>
      </w:r>
      <w:bookmarkEnd w:id="4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cantSplit/>
          <w:tblHeader/>
        </w:trPr>
        <w:tc>
          <w:tcPr>
            <w:tcW w:type="dxa" w:w="28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Slot / mapping</w:t>
            </w:r>
          </w:p>
        </w:tc>
        <w:tc>
          <w:tcPr>
            <w:tcW w:type="dxa" w:w="22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Type</w:t>
            </w:r>
          </w:p>
        </w:tc>
        <w:tc>
          <w:tcPr>
            <w:tcW w:type="dxa" w:w="436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Data</w:t>
            </w:r>
          </w:p>
        </w:tc>
      </w:tr>
      <w:tr>
        <w:trPr>
          <w:cantSplit/>
        </w:trPr>
        <w:tc>
          <w:tcPr>
            <w:tcW w:type="dxa" w:w="2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admin / guardian</w:t>
            </w:r>
          </w:p>
        </w:tc>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address</w:t>
            </w:r>
          </w:p>
        </w:tc>
        <w:tc>
          <w:tcPr>
            <w:tcW w:type="dxa" w:w="43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Upgrade and pause</w:t>
            </w:r>
          </w:p>
        </w:tc>
      </w:tr>
      <w:tr>
        <w:trPr>
          <w:cantSplit/>
        </w:trPr>
        <w:tc>
          <w:tcPr>
            <w:tcW w:type="dxa" w:w="2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feeRecipient</w:t>
            </w:r>
          </w:p>
        </w:tc>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address</w:t>
            </w:r>
          </w:p>
        </w:tc>
        <w:tc>
          <w:tcPr>
            <w:tcW w:type="dxa" w:w="43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Fee sink</w:t>
            </w:r>
          </w:p>
        </w:tc>
      </w:tr>
      <w:tr>
        <w:trPr>
          <w:cantSplit/>
        </w:trPr>
        <w:tc>
          <w:tcPr>
            <w:tcW w:type="dxa" w:w="2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feeBps</w:t>
            </w:r>
          </w:p>
        </w:tc>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uint16</w:t>
            </w:r>
          </w:p>
        </w:tc>
        <w:tc>
          <w:tcPr>
            <w:tcW w:type="dxa" w:w="43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Active fee; immutable cap 50</w:t>
            </w:r>
          </w:p>
        </w:tc>
      </w:tr>
      <w:tr>
        <w:trPr>
          <w:cantSplit/>
        </w:trPr>
        <w:tc>
          <w:tcPr>
            <w:tcW w:type="dxa" w:w="2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maxDecisionBlockAge</w:t>
            </w:r>
          </w:p>
        </w:tc>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uint64</w:t>
            </w:r>
          </w:p>
        </w:tc>
        <w:tc>
          <w:tcPr>
            <w:tcW w:type="dxa" w:w="43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Stale rank snapshot bound</w:t>
            </w:r>
          </w:p>
        </w:tc>
      </w:tr>
      <w:tr>
        <w:trPr>
          <w:cantSplit/>
        </w:trPr>
        <w:tc>
          <w:tcPr>
            <w:tcW w:type="dxa" w:w="2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liquidationAdapters</w:t>
            </w:r>
          </w:p>
        </w:tc>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mapping(address =&gt; bool)</w:t>
            </w:r>
          </w:p>
        </w:tc>
        <w:tc>
          <w:tcPr>
            <w:tcW w:type="dxa" w:w="43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Allowlisted adapters</w:t>
            </w:r>
          </w:p>
        </w:tc>
      </w:tr>
      <w:tr>
        <w:trPr>
          <w:cantSplit/>
        </w:trPr>
        <w:tc>
          <w:tcPr>
            <w:tcW w:type="dxa" w:w="2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usedRfqIds</w:t>
            </w:r>
          </w:p>
        </w:tc>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mapping(bytes32 =&gt; bool)</w:t>
            </w:r>
          </w:p>
        </w:tc>
        <w:tc>
          <w:tcPr>
            <w:tcW w:type="dxa" w:w="43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Packaged RFQ replay</w:t>
            </w:r>
          </w:p>
        </w:tc>
      </w:tr>
      <w:tr>
        <w:trPr>
          <w:cantSplit/>
        </w:trPr>
        <w:tc>
          <w:tcPr>
            <w:tcW w:type="dxa" w:w="2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oracleGuard / b20Guard</w:t>
            </w:r>
          </w:p>
        </w:tc>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address</w:t>
            </w:r>
          </w:p>
        </w:tc>
        <w:tc>
          <w:tcPr>
            <w:tcW w:type="dxa" w:w="43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Fail-closed guards</w:t>
            </w:r>
          </w:p>
        </w:tc>
      </w:tr>
      <w:tr>
        <w:trPr>
          <w:cantSplit/>
        </w:trPr>
        <w:tc>
          <w:tcPr>
            <w:tcW w:type="dxa" w:w="2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_status</w:t>
            </w:r>
          </w:p>
        </w:tc>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uint256</w:t>
            </w:r>
          </w:p>
        </w:tc>
        <w:tc>
          <w:tcPr>
            <w:tcW w:type="dxa" w:w="43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Reentrancy lock</w:t>
            </w:r>
          </w:p>
        </w:tc>
      </w:tr>
    </w:tbl>
    <w:p>
      <w:pPr>
        <w:spacing w:after="120"/>
      </w:pPr>
    </w:p>
    <w:p>
      <w:pPr>
        <w:pStyle w:val="Heading2"/>
        <w:spacing w:after="120" w:before="260"/>
      </w:pPr>
      <w:bookmarkStart w:name="sec-8-3" w:id="46"/>
      <w:r>
        <w:rPr>
          <w:rFonts w:ascii="Arial" w:cs="Arial" w:eastAsia="Arial" w:hAnsi="Arial"/>
          <w:b/>
          <w:bCs/>
          <w:color w:val="1F4E79"/>
          <w:sz w:val="26"/>
          <w:szCs w:val="26"/>
        </w:rPr>
        <w:t xml:space="preserve">8.3 Facility aggregator</w:t>
      </w:r>
      <w:bookmarkEnd w:id="4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cantSplit/>
          <w:tblHeader/>
        </w:trPr>
        <w:tc>
          <w:tcPr>
            <w:tcW w:type="dxa" w:w="28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Slot / mapping</w:t>
            </w:r>
          </w:p>
        </w:tc>
        <w:tc>
          <w:tcPr>
            <w:tcW w:type="dxa" w:w="22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Type</w:t>
            </w:r>
          </w:p>
        </w:tc>
        <w:tc>
          <w:tcPr>
            <w:tcW w:type="dxa" w:w="436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Data</w:t>
            </w:r>
          </w:p>
        </w:tc>
      </w:tr>
      <w:tr>
        <w:trPr>
          <w:cantSplit/>
        </w:trPr>
        <w:tc>
          <w:tcPr>
            <w:tcW w:type="dxa" w:w="2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admin</w:t>
            </w:r>
          </w:p>
        </w:tc>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address</w:t>
            </w:r>
          </w:p>
        </w:tc>
        <w:tc>
          <w:tcPr>
            <w:tcW w:type="dxa" w:w="43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Register / pause / revoke</w:t>
            </w:r>
          </w:p>
        </w:tc>
      </w:tr>
      <w:tr>
        <w:trPr>
          <w:cantSplit/>
        </w:trPr>
        <w:tc>
          <w:tcPr>
            <w:tcW w:type="dxa" w:w="2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facilities</w:t>
            </w:r>
          </w:p>
        </w:tc>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mapping(address =&gt; FacilityRecord)</w:t>
            </w:r>
          </w:p>
        </w:tc>
        <w:tc>
          <w:tcPr>
            <w:tcW w:type="dxa" w:w="43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Curator, assets, paused</w:t>
            </w:r>
          </w:p>
        </w:tc>
      </w:tr>
    </w:tbl>
    <w:p>
      <w:pPr>
        <w:spacing w:after="120"/>
      </w:pPr>
    </w:p>
    <w:p>
      <w:pPr>
        <w:pStyle w:val="Heading2"/>
        <w:spacing w:after="120" w:before="260"/>
      </w:pPr>
      <w:bookmarkStart w:name="sec-8-4" w:id="47"/>
      <w:r>
        <w:rPr>
          <w:rFonts w:ascii="Arial" w:cs="Arial" w:eastAsia="Arial" w:hAnsi="Arial"/>
          <w:b/>
          <w:bCs/>
          <w:color w:val="1F4E79"/>
          <w:sz w:val="26"/>
          <w:szCs w:val="26"/>
        </w:rPr>
        <w:t xml:space="preserve">8.4 Liquidity facility</w:t>
      </w:r>
      <w:bookmarkEnd w:id="4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cantSplit/>
          <w:tblHeader/>
        </w:trPr>
        <w:tc>
          <w:tcPr>
            <w:tcW w:type="dxa" w:w="28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Slot / mapping</w:t>
            </w:r>
          </w:p>
        </w:tc>
        <w:tc>
          <w:tcPr>
            <w:tcW w:type="dxa" w:w="22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Type</w:t>
            </w:r>
          </w:p>
        </w:tc>
        <w:tc>
          <w:tcPr>
            <w:tcW w:type="dxa" w:w="436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Data</w:t>
            </w:r>
          </w:p>
        </w:tc>
      </w:tr>
      <w:tr>
        <w:trPr>
          <w:cantSplit/>
        </w:trPr>
        <w:tc>
          <w:tcPr>
            <w:tcW w:type="dxa" w:w="2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curator / executor / guardian</w:t>
            </w:r>
          </w:p>
        </w:tc>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address</w:t>
            </w:r>
          </w:p>
        </w:tc>
        <w:tc>
          <w:tcPr>
            <w:tcW w:type="dxa" w:w="43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Policy and submitter</w:t>
            </w:r>
          </w:p>
        </w:tc>
      </w:tr>
      <w:tr>
        <w:trPr>
          <w:cantSplit/>
        </w:trPr>
        <w:tc>
          <w:tcPr>
            <w:tcW w:type="dxa" w:w="2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asset</w:t>
            </w:r>
          </w:p>
        </w:tc>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address</w:t>
            </w:r>
          </w:p>
        </w:tc>
        <w:tc>
          <w:tcPr>
            <w:tcW w:type="dxa" w:w="43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Native USDC</w:t>
            </w:r>
          </w:p>
        </w:tc>
      </w:tr>
      <w:tr>
        <w:trPr>
          <w:cantSplit/>
        </w:trPr>
        <w:tc>
          <w:tcPr>
            <w:tcW w:type="dxa" w:w="2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haircutWad</w:t>
            </w:r>
          </w:p>
        </w:tc>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uint256</w:t>
            </w:r>
          </w:p>
        </w:tc>
        <w:tc>
          <w:tcPr>
            <w:tcW w:type="dxa" w:w="43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Capacity haircut</w:t>
            </w:r>
          </w:p>
        </w:tc>
      </w:tr>
      <w:tr>
        <w:trPr>
          <w:cantSplit/>
        </w:trPr>
        <w:tc>
          <w:tcPr>
            <w:tcW w:type="dxa" w:w="2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adapters</w:t>
            </w:r>
          </w:p>
        </w:tc>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allowlist</w:t>
            </w:r>
          </w:p>
        </w:tc>
        <w:tc>
          <w:tcPr>
            <w:tcW w:type="dxa" w:w="43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Yield adapters</w:t>
            </w:r>
          </w:p>
        </w:tc>
      </w:tr>
      <w:tr>
        <w:trPr>
          <w:cantSplit/>
        </w:trPr>
        <w:tc>
          <w:tcPr>
            <w:tcW w:type="dxa" w:w="2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inventoryLots</w:t>
            </w:r>
          </w:p>
        </w:tc>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mapping(uint256 =&gt; Lot)</w:t>
            </w:r>
          </w:p>
        </w:tc>
        <w:tc>
          <w:tcPr>
            <w:tcW w:type="dxa" w:w="43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B20 at acquisition cost</w:t>
            </w:r>
          </w:p>
        </w:tc>
      </w:tr>
      <w:tr>
        <w:trPr>
          <w:cantSplit/>
        </w:trPr>
        <w:tc>
          <w:tcPr>
            <w:tcW w:type="dxa" w:w="2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withdrawQueue</w:t>
            </w:r>
          </w:p>
        </w:tc>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FIFO</w:t>
            </w:r>
          </w:p>
        </w:tc>
        <w:tc>
          <w:tcPr>
            <w:tcW w:type="dxa" w:w="43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SC-19 queued redeem</w:t>
            </w:r>
          </w:p>
        </w:tc>
      </w:tr>
      <w:tr>
        <w:trPr>
          <w:cantSplit/>
        </w:trPr>
        <w:tc>
          <w:tcPr>
            <w:tcW w:type="dxa" w:w="2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ERC-4626 balances</w:t>
            </w:r>
          </w:p>
        </w:tc>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inherited</w:t>
            </w:r>
          </w:p>
        </w:tc>
        <w:tc>
          <w:tcPr>
            <w:tcW w:type="dxa" w:w="43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Depositor shares</w:t>
            </w:r>
          </w:p>
        </w:tc>
      </w:tr>
    </w:tbl>
    <w:p>
      <w:pPr>
        <w:spacing w:after="120"/>
      </w:pPr>
    </w:p>
    <w:p>
      <w:pPr>
        <w:pStyle w:val="Heading2"/>
        <w:spacing w:after="120" w:before="260"/>
      </w:pPr>
      <w:bookmarkStart w:name="sec-8-5" w:id="48"/>
      <w:r>
        <w:rPr>
          <w:rFonts w:ascii="Arial" w:cs="Arial" w:eastAsia="Arial" w:hAnsi="Arial"/>
          <w:b/>
          <w:bCs/>
          <w:color w:val="1F4E79"/>
          <w:sz w:val="26"/>
          <w:szCs w:val="26"/>
        </w:rPr>
        <w:t xml:space="preserve">8.5 Mongo collections (off-chain)</w:t>
      </w:r>
      <w:bookmarkEnd w:id="4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cantSplit/>
          <w:tblHeader/>
        </w:trPr>
        <w:tc>
          <w:tcPr>
            <w:tcW w:type="dxa" w:w="30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Collection</w:t>
            </w:r>
          </w:p>
        </w:tc>
        <w:tc>
          <w:tcPr>
            <w:tcW w:type="dxa" w:w="20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Contents</w:t>
            </w:r>
          </w:p>
        </w:tc>
        <w:tc>
          <w:tcPr>
            <w:tcW w:type="dxa" w:w="436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Public GET</w:t>
            </w:r>
          </w:p>
        </w:tc>
      </w:tr>
      <w:tr>
        <w:trPr>
          <w:cantSplit/>
        </w:trPr>
        <w:tc>
          <w:tcPr>
            <w:tcW w:type="dxa" w:w="30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liquidations</w:t>
            </w:r>
          </w:p>
        </w:tc>
        <w:tc>
          <w:tcPr>
            <w:tcW w:type="dxa" w:w="20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Public RFQ fields, status, decision block</w:t>
            </w:r>
          </w:p>
        </w:tc>
        <w:tc>
          <w:tcPr>
            <w:tcW w:type="dxa" w:w="43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Yes, without losing prices or calldata</w:t>
            </w:r>
          </w:p>
        </w:tc>
      </w:tr>
      <w:tr>
        <w:trPr>
          <w:cantSplit/>
        </w:trPr>
        <w:tc>
          <w:tcPr>
            <w:tcW w:type="dxa" w:w="30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bids</w:t>
            </w:r>
          </w:p>
        </w:tc>
        <w:tc>
          <w:tcPr>
            <w:tcW w:type="dxa" w:w="20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Order hash, maker, remaining capacity, ranking fields, signature</w:t>
            </w:r>
          </w:p>
        </w:tc>
        <w:tc>
          <w:tcPr>
            <w:tcW w:type="dxa" w:w="43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No. Owner GET /v1/standing-bids/me only</w:t>
            </w:r>
          </w:p>
        </w:tc>
      </w:tr>
      <w:tr>
        <w:trPr>
          <w:cantSplit/>
        </w:trPr>
        <w:tc>
          <w:tcPr>
            <w:tcW w:type="dxa" w:w="30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routes</w:t>
            </w:r>
          </w:p>
        </w:tc>
        <w:tc>
          <w:tcPr>
            <w:tcW w:type="dxa" w:w="20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Winner, unsigned payload hash, fail-closed reason</w:t>
            </w:r>
          </w:p>
        </w:tc>
        <w:tc>
          <w:tcPr>
            <w:tcW w:type="dxa" w:w="43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Winner-only GET /v1/liquidations/:id/route</w:t>
            </w:r>
          </w:p>
        </w:tc>
      </w:tr>
      <w:tr>
        <w:trPr>
          <w:cantSplit/>
        </w:trPr>
        <w:tc>
          <w:tcPr>
            <w:tcW w:type="dxa" w:w="30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sessions</w:t>
            </w:r>
          </w:p>
        </w:tc>
        <w:tc>
          <w:tcPr>
            <w:tcW w:type="dxa" w:w="20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SIWE sessions, bot API key hashes</w:t>
            </w:r>
          </w:p>
        </w:tc>
        <w:tc>
          <w:tcPr>
            <w:tcW w:type="dxa" w:w="43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No</w:t>
            </w:r>
          </w:p>
        </w:tc>
      </w:tr>
      <w:tr>
        <w:trPr>
          <w:cantSplit/>
        </w:trPr>
        <w:tc>
          <w:tcPr>
            <w:tcW w:type="dxa" w:w="30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facilities</w:t>
            </w:r>
          </w:p>
        </w:tc>
        <w:tc>
          <w:tcPr>
            <w:tcW w:type="dxa" w:w="20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Cached quotes, caps, haircuts</w:t>
            </w:r>
          </w:p>
        </w:tc>
        <w:tc>
          <w:tcPr>
            <w:tcW w:type="dxa" w:w="43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Yes (already on-chain)</w:t>
            </w:r>
          </w:p>
        </w:tc>
      </w:tr>
      <w:tr>
        <w:trPr>
          <w:cantSplit/>
        </w:trPr>
        <w:tc>
          <w:tcPr>
            <w:tcW w:type="dxa" w:w="30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indexer_cursors</w:t>
            </w:r>
          </w:p>
        </w:tc>
        <w:tc>
          <w:tcPr>
            <w:tcW w:type="dxa" w:w="20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Per-contract log cursor</w:t>
            </w:r>
          </w:p>
        </w:tc>
        <w:tc>
          <w:tcPr>
            <w:tcW w:type="dxa" w:w="43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No</w:t>
            </w:r>
          </w:p>
        </w:tc>
      </w:tr>
      <w:tr>
        <w:trPr>
          <w:cantSplit/>
        </w:trPr>
        <w:tc>
          <w:tcPr>
            <w:tcW w:type="dxa" w:w="30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oracle_snapshots</w:t>
            </w:r>
          </w:p>
        </w:tc>
        <w:tc>
          <w:tcPr>
            <w:tcW w:type="dxa" w:w="20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Feed age, pause, sequencer</w:t>
            </w:r>
          </w:p>
        </w:tc>
        <w:tc>
          <w:tcPr>
            <w:tcW w:type="dxa" w:w="43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Yes</w:t>
            </w:r>
          </w:p>
        </w:tc>
      </w:tr>
    </w:tbl>
    <w:p>
      <w:pPr>
        <w:spacing w:after="120"/>
      </w:pPr>
    </w:p>
    <w:p>
      <w:pPr>
        <w:spacing w:after="160" w:before="0" w:line="276"/>
      </w:pPr>
      <w:r>
        <w:rPr>
          <w:rFonts w:ascii="Arial" w:cs="Arial" w:eastAsia="Arial" w:hAnsi="Arial"/>
          <w:sz w:val="22"/>
          <w:szCs w:val="22"/>
        </w:rPr>
        <w:t xml:space="preserve">Forward-only migrations. Losing-price payloads are omitted from structured logs.</w:t>
      </w:r>
    </w:p>
    <w:p>
      <w:pPr>
        <w:pStyle w:val="Heading1"/>
        <w:pBdr>
          <w:bottom w:val="single" w:color="1F4E79" w:sz="8" w:space="4"/>
        </w:pBdr>
        <w:spacing w:after="160" w:before="320"/>
      </w:pPr>
      <w:bookmarkStart w:name="sec-9" w:id="49"/>
      <w:r>
        <w:rPr>
          <w:rFonts w:ascii="Arial" w:cs="Arial" w:eastAsia="Arial" w:hAnsi="Arial"/>
          <w:b/>
          <w:bCs/>
          <w:color w:val="1F4E79"/>
          <w:sz w:val="32"/>
          <w:szCs w:val="32"/>
        </w:rPr>
        <w:t xml:space="preserve">9. Settlement math</w:t>
      </w:r>
      <w:bookmarkEnd w:id="49"/>
    </w:p>
    <w:p>
      <w:pPr>
        <w:spacing w:after="160" w:before="0" w:line="276"/>
      </w:pPr>
      <w:r>
        <w:rPr>
          <w:rFonts w:ascii="Arial" w:cs="Arial" w:eastAsia="Arial" w:hAnsi="Arial"/>
          <w:sz w:val="22"/>
          <w:szCs w:val="22"/>
        </w:rPr>
        <w:t xml:space="preserve">All amounts are integer base units. Convert with mulDiv and 256-bit intermediates. Protocol fee is taken from gross collateral, not from USDC repay. Pilot fee is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DDDDD" w:sz="4"/>
              <w:left w:val="single" w:color="1F4E79" w:sz="12"/>
              <w:bottom w:val="single" w:color="DDDDDD" w:sz="4"/>
              <w:right w:val="single" w:color="DDDDDD" w:sz="4"/>
            </w:tcBorders>
            <w:shd w:fill="F4F4F4" w:val="clear"/>
            <w:tcMar>
              <w:top w:type="dxa" w:w="80"/>
              <w:left w:type="dxa" w:w="120"/>
              <w:bottom w:type="dxa" w:w="80"/>
              <w:right w:type="dxa" w:w="120"/>
            </w:tcMar>
          </w:tcPr>
          <w:p>
            <w:pPr>
              <w:spacing w:after="0" w:line="240"/>
            </w:pPr>
            <w:r>
              <w:rPr>
                <w:rFonts w:ascii="Consolas" w:cs="Consolas" w:eastAsia="Consolas" w:hAnsi="Consolas"/>
                <w:sz w:val="16"/>
                <w:szCs w:val="16"/>
              </w:rPr>
              <w:t xml:space="preserve">repayAssets         = RFQ.repayAssets</w:t>
            </w:r>
          </w:p>
          <w:p>
            <w:pPr>
              <w:spacing w:after="0" w:line="240"/>
            </w:pPr>
            <w:r>
              <w:rPr>
                <w:rFonts w:ascii="Consolas" w:cs="Consolas" w:eastAsia="Consolas" w:hAnsi="Consolas"/>
                <w:sz w:val="16"/>
                <w:szCs w:val="16"/>
              </w:rPr>
              <w:t xml:space="preserve">predictedGrossSeize = venueSeize(repayAssets, closeFactor, bonus,</w:t>
            </w:r>
          </w:p>
          <w:p>
            <w:pPr>
              <w:spacing w:after="0" w:line="240"/>
            </w:pPr>
            <w:r>
              <w:rPr>
                <w:rFonts w:ascii="Consolas" w:cs="Consolas" w:eastAsia="Consolas" w:hAnsi="Consolas"/>
                <w:sz w:val="16"/>
                <w:szCs w:val="16"/>
              </w:rPr>
              <w:t xml:space="preserve">                                 chainlinkAnswer, b20MultiplierWad)</w:t>
            </w:r>
          </w:p>
          <w:p>
            <w:pPr>
              <w:spacing w:after="0" w:line="240"/>
            </w:pPr>
            <w:r>
              <w:rPr>
                <w:rFonts w:ascii="Consolas" w:cs="Consolas" w:eastAsia="Consolas" w:hAnsi="Consolas"/>
                <w:sz w:val="16"/>
                <w:szCs w:val="16"/>
              </w:rPr>
              <w:t xml:space="preserve">predictedFee        = predictedGrossSeize * feeBps / 10_000</w:t>
            </w:r>
          </w:p>
          <w:p>
            <w:pPr>
              <w:spacing w:after="0" w:line="240"/>
            </w:pPr>
            <w:r>
              <w:rPr>
                <w:rFonts w:ascii="Consolas" w:cs="Consolas" w:eastAsia="Consolas" w:hAnsi="Consolas"/>
                <w:sz w:val="16"/>
                <w:szCs w:val="16"/>
              </w:rPr>
              <w:t xml:space="preserve">predictedNet        = predictedGrossSeize - predictedFee</w:t>
            </w:r>
          </w:p>
          <w:p>
            <w:pPr>
              <w:spacing w:after="0" w:line="240"/>
            </w:pPr>
            <w:r>
              <w:rPr>
                <w:rFonts w:ascii="Consolas" w:cs="Consolas" w:eastAsia="Consolas" w:hAnsi="Consolas"/>
                <w:sz w:val="16"/>
                <w:szCs w:val="16"/>
              </w:rPr>
              <w:t xml:space="preserve">aerodromeImplied    = aerodromeCollateralFor(repayAssets)   // read-only</w:t>
            </w:r>
          </w:p>
          <w:p>
            <w:pPr>
              <w:spacing w:after="0" w:line="240"/>
            </w:pPr>
            <w:r>
              <w:rPr>
                <w:rFonts w:ascii="Consolas" w:cs="Consolas" w:eastAsia="Consolas" w:hAnsi="Consolas"/>
                <w:sz w:val="16"/>
                <w:szCs w:val="16"/>
              </w:rPr>
              <w:t xml:space="preserve">quoteUsdcCapacity   = min(maxWithdraw, idle + adapterMaxWithdraw)</w:t>
            </w:r>
          </w:p>
          <w:p>
            <w:pPr>
              <w:spacing w:after="0" w:line="240"/>
            </w:pPr>
            <w:r>
              <w:rPr>
                <w:rFonts w:ascii="Consolas" w:cs="Consolas" w:eastAsia="Consolas" w:hAnsi="Consolas"/>
                <w:sz w:val="16"/>
                <w:szCs w:val="16"/>
              </w:rPr>
              <w:t xml:space="preserve">                      * (WAD - haircutWad) / WAD</w:t>
            </w:r>
          </w:p>
        </w:tc>
      </w:tr>
    </w:tbl>
    <w:p>
      <w:pPr>
        <w:spacing w:after="120"/>
      </w:pPr>
    </w:p>
    <w:p>
      <w:pPr>
        <w:spacing w:after="160" w:before="0" w:line="276"/>
      </w:pPr>
      <w:r>
        <w:rPr>
          <w:rFonts w:ascii="Arial" w:cs="Arial" w:eastAsia="Arial" w:hAnsi="Arial"/>
          <w:b/>
          <w:bCs/>
          <w:sz w:val="22"/>
          <w:szCs w:val="22"/>
        </w:rPr>
        <w:t xml:space="preserve">On-chain: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DDDDD" w:sz="4"/>
              <w:left w:val="single" w:color="1F4E79" w:sz="12"/>
              <w:bottom w:val="single" w:color="DDDDDD" w:sz="4"/>
              <w:right w:val="single" w:color="DDDDDD" w:sz="4"/>
            </w:tcBorders>
            <w:shd w:fill="F4F4F4" w:val="clear"/>
            <w:tcMar>
              <w:top w:type="dxa" w:w="80"/>
              <w:left w:type="dxa" w:w="120"/>
              <w:bottom w:type="dxa" w:w="80"/>
              <w:right w:type="dxa" w:w="120"/>
            </w:tcMar>
          </w:tcPr>
          <w:p>
            <w:pPr>
              <w:spacing w:after="0" w:line="240"/>
            </w:pPr>
            <w:r>
              <w:rPr>
                <w:rFonts w:ascii="Consolas" w:cs="Consolas" w:eastAsia="Consolas" w:hAnsi="Consolas"/>
                <w:sz w:val="16"/>
                <w:szCs w:val="16"/>
              </w:rPr>
              <w:t xml:space="preserve">grossSeized = collateral balance delta after adapter.liquidate</w:t>
            </w:r>
          </w:p>
          <w:p>
            <w:pPr>
              <w:spacing w:after="0" w:line="240"/>
            </w:pPr>
            <w:r>
              <w:rPr>
                <w:rFonts w:ascii="Consolas" w:cs="Consolas" w:eastAsia="Consolas" w:hAnsi="Consolas"/>
                <w:sz w:val="16"/>
                <w:szCs w:val="16"/>
              </w:rPr>
              <w:t xml:space="preserve">              (do not trust return data)</w:t>
            </w:r>
          </w:p>
          <w:p>
            <w:pPr>
              <w:spacing w:after="0" w:line="240"/>
            </w:pPr>
            <w:r>
              <w:rPr>
                <w:rFonts w:ascii="Consolas" w:cs="Consolas" w:eastAsia="Consolas" w:hAnsi="Consolas"/>
                <w:sz w:val="16"/>
                <w:szCs w:val="16"/>
              </w:rPr>
              <w:t xml:space="preserve">fee         = grossSeized * feeBps / 10_000    // 0 in pilot, cap 50</w:t>
            </w:r>
          </w:p>
          <w:p>
            <w:pPr>
              <w:spacing w:after="0" w:line="240"/>
            </w:pPr>
            <w:r>
              <w:rPr>
                <w:rFonts w:ascii="Consolas" w:cs="Consolas" w:eastAsia="Consolas" w:hAnsi="Consolas"/>
                <w:sz w:val="16"/>
                <w:szCs w:val="16"/>
              </w:rPr>
              <w:t xml:space="preserve">netToWinner = grossSeized - fee</w:t>
            </w:r>
          </w:p>
          <w:p>
            <w:pPr>
              <w:spacing w:after="0" w:line="240"/>
            </w:pPr>
            <w:r>
              <w:rPr>
                <w:rFonts w:ascii="Consolas" w:cs="Consolas" w:eastAsia="Consolas" w:hAnsi="Consolas"/>
                <w:sz w:val="16"/>
                <w:szCs w:val="16"/>
              </w:rPr>
              <w:t xml:space="preserve">require(netToWinner &gt;= RFQ.minCollateralOut)</w:t>
            </w:r>
          </w:p>
          <w:p>
            <w:pPr>
              <w:spacing w:after="0" w:line="240"/>
            </w:pPr>
            <w:r>
              <w:rPr>
                <w:rFonts w:ascii="Consolas" w:cs="Consolas" w:eastAsia="Consolas" w:hAnsi="Consolas"/>
                <w:sz w:val="16"/>
                <w:szCs w:val="16"/>
              </w:rPr>
              <w:t xml:space="preserve">require(netToWinner &gt;= funder.minCollateralOut)</w:t>
            </w:r>
          </w:p>
          <w:p>
            <w:pPr>
              <w:spacing w:after="0" w:line="240"/>
            </w:pPr>
            <w:r>
              <w:rPr>
                <w:rFonts w:ascii="Consolas" w:cs="Consolas" w:eastAsia="Consolas" w:hAnsi="Consolas"/>
                <w:sz w:val="16"/>
                <w:szCs w:val="16"/>
              </w:rPr>
              <w:t xml:space="preserve">require(msg.sender == winner)</w:t>
            </w:r>
          </w:p>
          <w:p>
            <w:pPr>
              <w:spacing w:after="0" w:line="240"/>
            </w:pPr>
            <w:r>
              <w:rPr>
                <w:rFonts w:ascii="Consolas" w:cs="Consolas" w:eastAsia="Consolas" w:hAnsi="Consolas"/>
                <w:sz w:val="16"/>
                <w:szCs w:val="16"/>
              </w:rPr>
              <w:t xml:space="preserve">require(block.number - decisionBlock &lt;= maxDecisionBlockAge)</w:t>
            </w:r>
          </w:p>
        </w:tc>
      </w:tr>
    </w:tbl>
    <w:p>
      <w:pPr>
        <w:spacing w:after="120"/>
      </w:pPr>
    </w:p>
    <w:p>
      <w:pPr>
        <w:spacing w:after="160" w:before="0" w:line="276"/>
      </w:pPr>
      <w:r>
        <w:rPr>
          <w:rFonts w:ascii="Arial" w:cs="Arial" w:eastAsia="Arial" w:hAnsi="Arial"/>
          <w:sz w:val="22"/>
          <w:szCs w:val="22"/>
        </w:rPr>
        <w:t xml:space="preserve">UI size labels show both token base units and scaled share-equivalent units from scaledBalanceOf / WAD. Storage and settlement stay in token base units.</w:t>
      </w:r>
    </w:p>
    <w:p>
      <w:pPr>
        <w:pStyle w:val="Heading1"/>
        <w:pBdr>
          <w:bottom w:val="single" w:color="1F4E79" w:sz="8" w:space="4"/>
        </w:pBdr>
        <w:spacing w:after="160" w:before="320"/>
      </w:pPr>
      <w:bookmarkStart w:name="sec-10" w:id="50"/>
      <w:r>
        <w:rPr>
          <w:rFonts w:ascii="Arial" w:cs="Arial" w:eastAsia="Arial" w:hAnsi="Arial"/>
          <w:b/>
          <w:bCs/>
          <w:color w:val="1F4E79"/>
          <w:sz w:val="32"/>
          <w:szCs w:val="32"/>
        </w:rPr>
        <w:t xml:space="preserve">10. Events</w:t>
      </w:r>
      <w:bookmarkEnd w:id="50"/>
    </w:p>
    <w:p>
      <w:pPr>
        <w:spacing w:after="160" w:before="0" w:line="276"/>
      </w:pPr>
      <w:r>
        <w:rPr>
          <w:rFonts w:ascii="Arial" w:cs="Arial" w:eastAsia="Arial" w:hAnsi="Arial"/>
          <w:sz w:val="22"/>
          <w:szCs w:val="22"/>
        </w:rPr>
        <w:t xml:space="preserve">Every significant action emits an event for indexing and audit. Events do not include losing LP prices.</w:t>
      </w:r>
    </w:p>
    <w:p>
      <w:pPr>
        <w:pStyle w:val="Heading2"/>
        <w:spacing w:after="120" w:before="260"/>
      </w:pPr>
      <w:bookmarkStart w:name="sec-10-1" w:id="51"/>
      <w:r>
        <w:rPr>
          <w:rFonts w:ascii="Arial" w:cs="Arial" w:eastAsia="Arial" w:hAnsi="Arial"/>
          <w:b/>
          <w:bCs/>
          <w:color w:val="1F4E79"/>
          <w:sz w:val="26"/>
          <w:szCs w:val="26"/>
        </w:rPr>
        <w:t xml:space="preserve">10.1 Settlement</w:t>
      </w:r>
      <w:bookmarkEnd w:id="5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DDDDD" w:sz="4"/>
              <w:left w:val="single" w:color="1F4E79" w:sz="12"/>
              <w:bottom w:val="single" w:color="DDDDDD" w:sz="4"/>
              <w:right w:val="single" w:color="DDDDDD" w:sz="4"/>
            </w:tcBorders>
            <w:shd w:fill="F4F4F4" w:val="clear"/>
            <w:tcMar>
              <w:top w:type="dxa" w:w="80"/>
              <w:left w:type="dxa" w:w="120"/>
              <w:bottom w:type="dxa" w:w="80"/>
              <w:right w:type="dxa" w:w="120"/>
            </w:tcMar>
          </w:tcPr>
          <w:p>
            <w:pPr>
              <w:spacing w:after="0" w:line="240"/>
            </w:pPr>
            <w:r>
              <w:rPr>
                <w:rFonts w:ascii="Consolas" w:cs="Consolas" w:eastAsia="Consolas" w:hAnsi="Consolas"/>
                <w:sz w:val="16"/>
                <w:szCs w:val="16"/>
              </w:rPr>
              <w:t xml:space="preserve">event Fill(bytes32 indexed orderHash, address indexed maker, address indexed recipient,</w:t>
            </w:r>
          </w:p>
          <w:p>
            <w:pPr>
              <w:spacing w:after="0" w:line="240"/>
            </w:pPr>
            <w:r>
              <w:rPr>
                <w:rFonts w:ascii="Consolas" w:cs="Consolas" w:eastAsia="Consolas" w:hAnsi="Consolas"/>
                <w:sz w:val="16"/>
                <w:szCs w:val="16"/>
              </w:rPr>
              <w:t xml:space="preserve">           address debtAsset, address collateralAsset, uint256 repayAssets,</w:t>
            </w:r>
          </w:p>
          <w:p>
            <w:pPr>
              <w:spacing w:after="0" w:line="240"/>
            </w:pPr>
            <w:r>
              <w:rPr>
                <w:rFonts w:ascii="Consolas" w:cs="Consolas" w:eastAsia="Consolas" w:hAnsi="Consolas"/>
                <w:sz w:val="16"/>
                <w:szCs w:val="16"/>
              </w:rPr>
              <w:t xml:space="preserve">           uint256 collateralOut, uint256 fee);</w:t>
            </w:r>
          </w:p>
          <w:p>
            <w:pPr>
              <w:spacing w:after="0" w:line="240"/>
            </w:pPr>
            <w:r>
              <w:rPr>
                <w:rFonts w:ascii="Consolas" w:cs="Consolas" w:eastAsia="Consolas" w:hAnsi="Consolas"/>
                <w:sz w:val="16"/>
                <w:szCs w:val="16"/>
              </w:rPr>
              <w:t xml:space="preserve">event Cancel(address indexed maker, bytes32 indexed orderHash);</w:t>
            </w:r>
          </w:p>
          <w:p>
            <w:pPr>
              <w:spacing w:after="0" w:line="240"/>
            </w:pPr>
            <w:r>
              <w:rPr>
                <w:rFonts w:ascii="Consolas" w:cs="Consolas" w:eastAsia="Consolas" w:hAnsi="Consolas"/>
                <w:sz w:val="16"/>
                <w:szCs w:val="16"/>
              </w:rPr>
              <w:t xml:space="preserve">event SignerUpdated(address indexed maker, address indexed signer, bool authorized);</w:t>
            </w:r>
          </w:p>
        </w:tc>
      </w:tr>
    </w:tbl>
    <w:p>
      <w:pPr>
        <w:spacing w:after="120"/>
      </w:pPr>
    </w:p>
    <w:p>
      <w:pPr>
        <w:pStyle w:val="Heading2"/>
        <w:spacing w:after="120" w:before="260"/>
      </w:pPr>
      <w:bookmarkStart w:name="sec-10-2" w:id="52"/>
      <w:r>
        <w:rPr>
          <w:rFonts w:ascii="Arial" w:cs="Arial" w:eastAsia="Arial" w:hAnsi="Arial"/>
          <w:b/>
          <w:bCs/>
          <w:color w:val="1F4E79"/>
          <w:sz w:val="26"/>
          <w:szCs w:val="26"/>
        </w:rPr>
        <w:t xml:space="preserve">10.2 RFQ router</w:t>
      </w:r>
      <w:bookmarkEnd w:id="5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DDDDD" w:sz="4"/>
              <w:left w:val="single" w:color="1F4E79" w:sz="12"/>
              <w:bottom w:val="single" w:color="DDDDDD" w:sz="4"/>
              <w:right w:val="single" w:color="DDDDDD" w:sz="4"/>
            </w:tcBorders>
            <w:shd w:fill="F4F4F4" w:val="clear"/>
            <w:tcMar>
              <w:top w:type="dxa" w:w="80"/>
              <w:left w:type="dxa" w:w="120"/>
              <w:bottom w:type="dxa" w:w="80"/>
              <w:right w:type="dxa" w:w="120"/>
            </w:tcMar>
          </w:tcPr>
          <w:p>
            <w:pPr>
              <w:spacing w:after="0" w:line="240"/>
            </w:pPr>
            <w:r>
              <w:rPr>
                <w:rFonts w:ascii="Consolas" w:cs="Consolas" w:eastAsia="Consolas" w:hAnsi="Consolas"/>
                <w:sz w:val="16"/>
                <w:szCs w:val="16"/>
              </w:rPr>
              <w:t xml:space="preserve">event RouteFilled(bytes32 indexed rfqId, address indexed winner, address indexed recipient,</w:t>
            </w:r>
          </w:p>
          <w:p>
            <w:pPr>
              <w:spacing w:after="0" w:line="240"/>
            </w:pPr>
            <w:r>
              <w:rPr>
                <w:rFonts w:ascii="Consolas" w:cs="Consolas" w:eastAsia="Consolas" w:hAnsi="Consolas"/>
                <w:sz w:val="16"/>
                <w:szCs w:val="16"/>
              </w:rPr>
              <w:t xml:space="preserve">                  address adapter, uint256 repayAssets, uint256 collateralSeized, uint256 fee);</w:t>
            </w:r>
          </w:p>
          <w:p>
            <w:pPr>
              <w:spacing w:after="0" w:line="240"/>
            </w:pPr>
            <w:r>
              <w:rPr>
                <w:rFonts w:ascii="Consolas" w:cs="Consolas" w:eastAsia="Consolas" w:hAnsi="Consolas"/>
                <w:sz w:val="16"/>
                <w:szCs w:val="16"/>
              </w:rPr>
              <w:t xml:space="preserve">event AdapterAllowlisted(address indexed adapter, bool allowed);</w:t>
            </w:r>
          </w:p>
          <w:p>
            <w:pPr>
              <w:spacing w:after="0" w:line="240"/>
            </w:pPr>
            <w:r>
              <w:rPr>
                <w:rFonts w:ascii="Consolas" w:cs="Consolas" w:eastAsia="Consolas" w:hAnsi="Consolas"/>
                <w:sz w:val="16"/>
                <w:szCs w:val="16"/>
              </w:rPr>
              <w:t xml:space="preserve">event FeeUpdated(uint16 feeBps);</w:t>
            </w:r>
          </w:p>
          <w:p>
            <w:pPr>
              <w:spacing w:after="0" w:line="240"/>
            </w:pPr>
            <w:r>
              <w:rPr>
                <w:rFonts w:ascii="Consolas" w:cs="Consolas" w:eastAsia="Consolas" w:hAnsi="Consolas"/>
                <w:sz w:val="16"/>
                <w:szCs w:val="16"/>
              </w:rPr>
              <w:t xml:space="preserve">event Paused(address account);</w:t>
            </w:r>
          </w:p>
          <w:p>
            <w:pPr>
              <w:spacing w:after="0" w:line="240"/>
            </w:pPr>
            <w:r>
              <w:rPr>
                <w:rFonts w:ascii="Consolas" w:cs="Consolas" w:eastAsia="Consolas" w:hAnsi="Consolas"/>
                <w:sz w:val="16"/>
                <w:szCs w:val="16"/>
              </w:rPr>
              <w:t xml:space="preserve">event Unpaused(address account);</w:t>
            </w:r>
          </w:p>
        </w:tc>
      </w:tr>
    </w:tbl>
    <w:p>
      <w:pPr>
        <w:spacing w:after="120"/>
      </w:pPr>
    </w:p>
    <w:p>
      <w:pPr>
        <w:pStyle w:val="Heading2"/>
        <w:spacing w:after="120" w:before="260"/>
      </w:pPr>
      <w:bookmarkStart w:name="sec-10-3" w:id="53"/>
      <w:r>
        <w:rPr>
          <w:rFonts w:ascii="Arial" w:cs="Arial" w:eastAsia="Arial" w:hAnsi="Arial"/>
          <w:b/>
          <w:bCs/>
          <w:color w:val="1F4E79"/>
          <w:sz w:val="26"/>
          <w:szCs w:val="26"/>
        </w:rPr>
        <w:t xml:space="preserve">10.3 Facility aggregator</w:t>
      </w:r>
      <w:bookmarkEnd w:id="5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DDDDD" w:sz="4"/>
              <w:left w:val="single" w:color="1F4E79" w:sz="12"/>
              <w:bottom w:val="single" w:color="DDDDDD" w:sz="4"/>
              <w:right w:val="single" w:color="DDDDDD" w:sz="4"/>
            </w:tcBorders>
            <w:shd w:fill="F4F4F4" w:val="clear"/>
            <w:tcMar>
              <w:top w:type="dxa" w:w="80"/>
              <w:left w:type="dxa" w:w="120"/>
              <w:bottom w:type="dxa" w:w="80"/>
              <w:right w:type="dxa" w:w="120"/>
            </w:tcMar>
          </w:tcPr>
          <w:p>
            <w:pPr>
              <w:spacing w:after="0" w:line="240"/>
            </w:pPr>
            <w:r>
              <w:rPr>
                <w:rFonts w:ascii="Consolas" w:cs="Consolas" w:eastAsia="Consolas" w:hAnsi="Consolas"/>
                <w:sz w:val="16"/>
                <w:szCs w:val="16"/>
              </w:rPr>
              <w:t xml:space="preserve">event FacilityRegistered(address indexed curator, address indexed facility);</w:t>
            </w:r>
          </w:p>
          <w:p>
            <w:pPr>
              <w:spacing w:after="0" w:line="240"/>
            </w:pPr>
            <w:r>
              <w:rPr>
                <w:rFonts w:ascii="Consolas" w:cs="Consolas" w:eastAsia="Consolas" w:hAnsi="Consolas"/>
                <w:sz w:val="16"/>
                <w:szCs w:val="16"/>
              </w:rPr>
              <w:t xml:space="preserve">event FacilityPaused(address indexed facility);</w:t>
            </w:r>
          </w:p>
          <w:p>
            <w:pPr>
              <w:spacing w:after="0" w:line="240"/>
            </w:pPr>
            <w:r>
              <w:rPr>
                <w:rFonts w:ascii="Consolas" w:cs="Consolas" w:eastAsia="Consolas" w:hAnsi="Consolas"/>
                <w:sz w:val="16"/>
                <w:szCs w:val="16"/>
              </w:rPr>
              <w:t xml:space="preserve">event FacilityRevoked(address indexed facility);</w:t>
            </w:r>
          </w:p>
        </w:tc>
      </w:tr>
    </w:tbl>
    <w:p>
      <w:pPr>
        <w:spacing w:after="120"/>
      </w:pPr>
    </w:p>
    <w:p>
      <w:pPr>
        <w:pStyle w:val="Heading2"/>
        <w:spacing w:after="120" w:before="260"/>
      </w:pPr>
      <w:bookmarkStart w:name="sec-10-4" w:id="54"/>
      <w:r>
        <w:rPr>
          <w:rFonts w:ascii="Arial" w:cs="Arial" w:eastAsia="Arial" w:hAnsi="Arial"/>
          <w:b/>
          <w:bCs/>
          <w:color w:val="1F4E79"/>
          <w:sz w:val="26"/>
          <w:szCs w:val="26"/>
        </w:rPr>
        <w:t xml:space="preserve">10.4 Liquidity facility</w:t>
      </w:r>
      <w:bookmarkEnd w:id="5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DDDDD" w:sz="4"/>
              <w:left w:val="single" w:color="1F4E79" w:sz="12"/>
              <w:bottom w:val="single" w:color="DDDDDD" w:sz="4"/>
              <w:right w:val="single" w:color="DDDDDD" w:sz="4"/>
            </w:tcBorders>
            <w:shd w:fill="F4F4F4" w:val="clear"/>
            <w:tcMar>
              <w:top w:type="dxa" w:w="80"/>
              <w:left w:type="dxa" w:w="120"/>
              <w:bottom w:type="dxa" w:w="80"/>
              <w:right w:type="dxa" w:w="120"/>
            </w:tcMar>
          </w:tcPr>
          <w:p>
            <w:pPr>
              <w:spacing w:after="0" w:line="240"/>
            </w:pPr>
            <w:r>
              <w:rPr>
                <w:rFonts w:ascii="Consolas" w:cs="Consolas" w:eastAsia="Consolas" w:hAnsi="Consolas"/>
                <w:sz w:val="16"/>
                <w:szCs w:val="16"/>
              </w:rPr>
              <w:t xml:space="preserve">event Deposit(address indexed sender, address indexed owner, uint256 assets, uint256 shares);</w:t>
            </w:r>
          </w:p>
          <w:p>
            <w:pPr>
              <w:spacing w:after="0" w:line="240"/>
            </w:pPr>
            <w:r>
              <w:rPr>
                <w:rFonts w:ascii="Consolas" w:cs="Consolas" w:eastAsia="Consolas" w:hAnsi="Consolas"/>
                <w:sz w:val="16"/>
                <w:szCs w:val="16"/>
              </w:rPr>
              <w:t xml:space="preserve">event Withdraw(address indexed sender, address indexed receiver, address indexed owner,</w:t>
            </w:r>
          </w:p>
          <w:p>
            <w:pPr>
              <w:spacing w:after="0" w:line="240"/>
            </w:pPr>
            <w:r>
              <w:rPr>
                <w:rFonts w:ascii="Consolas" w:cs="Consolas" w:eastAsia="Consolas" w:hAnsi="Consolas"/>
                <w:sz w:val="16"/>
                <w:szCs w:val="16"/>
              </w:rPr>
              <w:t xml:space="preserve">               uint256 assets, uint256 shares);</w:t>
            </w:r>
          </w:p>
          <w:p>
            <w:pPr>
              <w:spacing w:after="0" w:line="240"/>
            </w:pPr>
            <w:r>
              <w:rPr>
                <w:rFonts w:ascii="Consolas" w:cs="Consolas" w:eastAsia="Consolas" w:hAnsi="Consolas"/>
                <w:sz w:val="16"/>
                <w:szCs w:val="16"/>
              </w:rPr>
              <w:t xml:space="preserve">event WithdrawQueued(address indexed owner, uint256 indexed requestId, uint256 assets, uint256 shares);</w:t>
            </w:r>
          </w:p>
          <w:p>
            <w:pPr>
              <w:spacing w:after="0" w:line="240"/>
            </w:pPr>
            <w:r>
              <w:rPr>
                <w:rFonts w:ascii="Consolas" w:cs="Consolas" w:eastAsia="Consolas" w:hAnsi="Consolas"/>
                <w:sz w:val="16"/>
                <w:szCs w:val="16"/>
              </w:rPr>
              <w:t xml:space="preserve">event WithdrawClaimed(address indexed owner, uint256 indexed requestId, uint256 assets);</w:t>
            </w:r>
          </w:p>
          <w:p>
            <w:pPr>
              <w:spacing w:after="0" w:line="240"/>
            </w:pPr>
            <w:r>
              <w:rPr>
                <w:rFonts w:ascii="Consolas" w:cs="Consolas" w:eastAsia="Consolas" w:hAnsi="Consolas"/>
                <w:sz w:val="16"/>
                <w:szCs w:val="16"/>
              </w:rPr>
              <w:t xml:space="preserve">event VenueAllocation(address indexed adapter, uint256 assets, bool allocating);</w:t>
            </w:r>
          </w:p>
          <w:p>
            <w:pPr>
              <w:spacing w:after="0" w:line="240"/>
            </w:pPr>
            <w:r>
              <w:rPr>
                <w:rFonts w:ascii="Consolas" w:cs="Consolas" w:eastAsia="Consolas" w:hAnsi="Consolas"/>
                <w:sz w:val="16"/>
                <w:szCs w:val="16"/>
              </w:rPr>
              <w:t xml:space="preserve">event InventoryAcquired(address indexed token, uint256 amount, uint256 usdcPaid);</w:t>
            </w:r>
          </w:p>
        </w:tc>
      </w:tr>
    </w:tbl>
    <w:p>
      <w:pPr>
        <w:spacing w:after="120"/>
      </w:pPr>
    </w:p>
    <w:p>
      <w:pPr>
        <w:spacing w:after="160" w:before="0" w:line="276"/>
      </w:pPr>
      <w:r>
        <w:rPr>
          <w:rFonts w:ascii="Arial" w:cs="Arial" w:eastAsia="Arial" w:hAnsi="Arial"/>
          <w:sz w:val="22"/>
          <w:szCs w:val="22"/>
        </w:rPr>
        <w:t xml:space="preserve">Index B20 Announcement and MultiplierUpdated from the token contracts.</w:t>
      </w:r>
    </w:p>
    <w:p>
      <w:pPr>
        <w:pStyle w:val="Heading1"/>
        <w:pBdr>
          <w:bottom w:val="single" w:color="1F4E79" w:sz="8" w:space="4"/>
        </w:pBdr>
        <w:spacing w:after="160" w:before="320"/>
      </w:pPr>
      <w:bookmarkStart w:name="sec-11" w:id="55"/>
      <w:r>
        <w:rPr>
          <w:rFonts w:ascii="Arial" w:cs="Arial" w:eastAsia="Arial" w:hAnsi="Arial"/>
          <w:b/>
          <w:bCs/>
          <w:color w:val="1F4E79"/>
          <w:sz w:val="32"/>
          <w:szCs w:val="32"/>
        </w:rPr>
        <w:t xml:space="preserve">11. Keepers</w:t>
      </w:r>
      <w:bookmarkEnd w:id="55"/>
    </w:p>
    <w:p>
      <w:pPr>
        <w:pStyle w:val="Heading2"/>
        <w:spacing w:after="120" w:before="260"/>
      </w:pPr>
      <w:bookmarkStart w:name="sec-11-1" w:id="56"/>
      <w:r>
        <w:rPr>
          <w:rFonts w:ascii="Arial" w:cs="Arial" w:eastAsia="Arial" w:hAnsi="Arial"/>
          <w:b/>
          <w:bCs/>
          <w:color w:val="1F4E79"/>
          <w:sz w:val="26"/>
          <w:szCs w:val="26"/>
        </w:rPr>
        <w:t xml:space="preserve">11.1 Roles</w:t>
      </w:r>
      <w:bookmarkEnd w:id="5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3200"/>
        <w:gridCol w:w="1800"/>
      </w:tblGrid>
      <w:tr>
        <w:trPr>
          <w:cantSplit/>
          <w:tblHeader/>
        </w:trPr>
        <w:tc>
          <w:tcPr>
            <w:tcW w:type="dxa" w:w="20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Keeper</w:t>
            </w:r>
          </w:p>
        </w:tc>
        <w:tc>
          <w:tcPr>
            <w:tcW w:type="dxa" w:w="236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Trigger</w:t>
            </w:r>
          </w:p>
        </w:tc>
        <w:tc>
          <w:tcPr>
            <w:tcW w:type="dxa" w:w="32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Action</w:t>
            </w:r>
          </w:p>
        </w:tc>
        <w:tc>
          <w:tcPr>
            <w:tcW w:type="dxa" w:w="18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Cadence</w:t>
            </w:r>
          </w:p>
        </w:tc>
      </w:tr>
      <w:tr>
        <w:trPr>
          <w:cantSplit/>
        </w:trPr>
        <w:tc>
          <w:tcPr>
            <w:tcW w:type="dxa" w:w="20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Liquidation detector</w:t>
            </w:r>
          </w:p>
        </w:tc>
        <w:tc>
          <w:tcPr>
            <w:tcW w:type="dxa" w:w="23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Health factor below venue threshold on Aave, Morpho, or Euler with B20 collateral</w:t>
            </w:r>
          </w:p>
        </w:tc>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POST /v1/liquidations (idempotent on venue, market, borrower, assets)</w:t>
            </w:r>
          </w:p>
        </w:tc>
        <w:tc>
          <w:tcPr>
            <w:tcW w:type="dxa" w:w="1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~2s (Base block time). Overlapping workers allowed</w:t>
            </w:r>
          </w:p>
        </w:tc>
      </w:tr>
      <w:tr>
        <w:trPr>
          <w:cantSplit/>
        </w:trPr>
        <w:tc>
          <w:tcPr>
            <w:tcW w:type="dxa" w:w="20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Ranker tick</w:t>
            </w:r>
          </w:p>
        </w:tc>
        <w:tc>
          <w:tcPr>
            <w:tcW w:type="dxa" w:w="23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New bid, RFQ deadline, or idle open RFQ</w:t>
            </w:r>
          </w:p>
        </w:tc>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Internal rank at a finalized block. WebSocket notify winner or fail-closed</w:t>
            </w:r>
          </w:p>
        </w:tc>
        <w:tc>
          <w:tcPr>
            <w:tcW w:type="dxa" w:w="1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On event, plus 1s idle tick</w:t>
            </w:r>
          </w:p>
        </w:tc>
      </w:tr>
      <w:tr>
        <w:trPr>
          <w:cantSplit/>
        </w:trPr>
        <w:tc>
          <w:tcPr>
            <w:tcW w:type="dxa" w:w="20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Expiry worker</w:t>
            </w:r>
          </w:p>
        </w:tc>
        <w:tc>
          <w:tcPr>
            <w:tcW w:type="dxa" w:w="23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RFQ deadline passed with no fill</w:t>
            </w:r>
          </w:p>
        </w:tc>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Mark expired. Drop unsigned route</w:t>
            </w:r>
          </w:p>
        </w:tc>
        <w:tc>
          <w:tcPr>
            <w:tcW w:type="dxa" w:w="1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~2s</w:t>
            </w:r>
          </w:p>
        </w:tc>
      </w:tr>
      <w:tr>
        <w:trPr>
          <w:cantSplit/>
        </w:trPr>
        <w:tc>
          <w:tcPr>
            <w:tcW w:type="dxa" w:w="20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Indexer</w:t>
            </w:r>
          </w:p>
        </w:tc>
        <w:tc>
          <w:tcPr>
            <w:tcW w:type="dxa" w:w="23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New logs</w:t>
            </w:r>
          </w:p>
        </w:tc>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Project the read model</w:t>
            </w:r>
          </w:p>
        </w:tc>
        <w:tc>
          <w:tcPr>
            <w:tcW w:type="dxa" w:w="1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Real-time log tail</w:t>
            </w:r>
          </w:p>
        </w:tc>
      </w:tr>
      <w:tr>
        <w:trPr>
          <w:cantSplit/>
        </w:trPr>
        <w:tc>
          <w:tcPr>
            <w:tcW w:type="dxa" w:w="20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Oracle monitor</w:t>
            </w:r>
          </w:p>
        </w:tc>
        <w:tc>
          <w:tcPr>
            <w:tcW w:type="dxa" w:w="23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Heartbeat, pause, sequencer</w:t>
            </w:r>
          </w:p>
        </w:tc>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Status strip only. Does not settle</w:t>
            </w:r>
          </w:p>
        </w:tc>
        <w:tc>
          <w:tcPr>
            <w:tcW w:type="dxa" w:w="1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~2s read</w:t>
            </w:r>
          </w:p>
        </w:tc>
      </w:tr>
    </w:tbl>
    <w:p>
      <w:pPr>
        <w:spacing w:after="120"/>
      </w:pPr>
    </w:p>
    <w:p>
      <w:pPr>
        <w:pStyle w:val="Heading2"/>
        <w:spacing w:after="120" w:before="260"/>
      </w:pPr>
      <w:bookmarkStart w:name="sec-11-2" w:id="57"/>
      <w:r>
        <w:rPr>
          <w:rFonts w:ascii="Arial" w:cs="Arial" w:eastAsia="Arial" w:hAnsi="Arial"/>
          <w:b/>
          <w:bCs/>
          <w:color w:val="1F4E79"/>
          <w:sz w:val="26"/>
          <w:szCs w:val="26"/>
        </w:rPr>
        <w:t xml:space="preserve">11.2 Operating rules</w:t>
      </w:r>
      <w:bookmarkEnd w:id="57"/>
    </w:p>
    <w:p>
      <w:pPr>
        <w:pStyle w:val="ListParagraph"/>
        <w:numPr>
          <w:ilvl w:val="0"/>
          <w:numId w:val="2"/>
        </w:numPr>
        <w:spacing w:after="60" w:line="276"/>
      </w:pPr>
      <w:r>
        <w:rPr>
          <w:rFonts w:ascii="Arial" w:cs="Arial" w:eastAsia="Arial" w:hAnsi="Arial"/>
          <w:sz w:val="22"/>
          <w:szCs w:val="22"/>
        </w:rPr>
        <w:t xml:space="preserve">Runtime: Node.js TypeScript, Docker, same container host as the API</w:t>
      </w:r>
    </w:p>
    <w:p>
      <w:pPr>
        <w:pStyle w:val="ListParagraph"/>
        <w:numPr>
          <w:ilvl w:val="0"/>
          <w:numId w:val="2"/>
        </w:numPr>
        <w:spacing w:after="60" w:line="276"/>
      </w:pPr>
      <w:r>
        <w:rPr>
          <w:rFonts w:ascii="Arial" w:cs="Arial" w:eastAsia="Arial" w:hAnsi="Arial"/>
          <w:sz w:val="22"/>
          <w:szCs w:val="22"/>
        </w:rPr>
        <w:t xml:space="preserve">Keepers authenticate for rate limits. They never hold a settlement key</w:t>
      </w:r>
    </w:p>
    <w:p>
      <w:pPr>
        <w:pStyle w:val="ListParagraph"/>
        <w:numPr>
          <w:ilvl w:val="0"/>
          <w:numId w:val="2"/>
        </w:numPr>
        <w:spacing w:after="60" w:line="276"/>
      </w:pPr>
      <w:r>
        <w:rPr>
          <w:rFonts w:ascii="Arial" w:cs="Arial" w:eastAsia="Arial" w:hAnsi="Arial"/>
          <w:sz w:val="22"/>
          <w:szCs w:val="22"/>
        </w:rPr>
        <w:t xml:space="preserve">They never submit executeLiquidationRoute</w:t>
      </w:r>
    </w:p>
    <w:p>
      <w:pPr>
        <w:pStyle w:val="ListParagraph"/>
        <w:numPr>
          <w:ilvl w:val="0"/>
          <w:numId w:val="2"/>
        </w:numPr>
        <w:spacing w:after="60" w:line="276"/>
      </w:pPr>
      <w:r>
        <w:rPr>
          <w:rFonts w:ascii="Arial" w:cs="Arial" w:eastAsia="Arial" w:hAnsi="Arial"/>
          <w:sz w:val="22"/>
          <w:szCs w:val="22"/>
        </w:rPr>
        <w:t xml:space="preserve">Detection is not an exclusive execution grant</w:t>
      </w:r>
    </w:p>
    <w:p>
      <w:pPr>
        <w:pStyle w:val="ListParagraph"/>
        <w:numPr>
          <w:ilvl w:val="0"/>
          <w:numId w:val="2"/>
        </w:numPr>
        <w:spacing w:after="60" w:line="276"/>
      </w:pPr>
      <w:r>
        <w:rPr>
          <w:rFonts w:ascii="Arial" w:cs="Arial" w:eastAsia="Arial" w:hAnsi="Arial"/>
          <w:sz w:val="22"/>
          <w:szCs w:val="22"/>
        </w:rPr>
        <w:t xml:space="preserve">If detectors are down, venues remain liquidatable by other actors</w:t>
      </w:r>
    </w:p>
    <w:p>
      <w:pPr>
        <w:pStyle w:val="ListParagraph"/>
        <w:numPr>
          <w:ilvl w:val="0"/>
          <w:numId w:val="2"/>
        </w:numPr>
        <w:spacing w:after="60" w:line="276"/>
      </w:pPr>
      <w:r>
        <w:rPr>
          <w:rFonts w:ascii="Arial" w:cs="Arial" w:eastAsia="Arial" w:hAnsi="Arial"/>
          <w:sz w:val="22"/>
          <w:szCs w:val="22"/>
        </w:rPr>
        <w:t xml:space="preserve">Ranking a single RFQ against 100 standing bids, 8 facility quotes, and one Aerodrome read completes in-process in under 200 ms excluding RPC</w:t>
      </w:r>
    </w:p>
    <w:p>
      <w:pPr>
        <w:pStyle w:val="Heading2"/>
        <w:spacing w:after="120" w:before="260"/>
      </w:pPr>
      <w:bookmarkStart w:name="sec-11-3" w:id="58"/>
      <w:r>
        <w:rPr>
          <w:rFonts w:ascii="Arial" w:cs="Arial" w:eastAsia="Arial" w:hAnsi="Arial"/>
          <w:b/>
          <w:bCs/>
          <w:color w:val="1F4E79"/>
          <w:sz w:val="26"/>
          <w:szCs w:val="26"/>
        </w:rPr>
        <w:t xml:space="preserve">11.3 Coordination API (keyless)</w:t>
      </w:r>
      <w:bookmarkEnd w:id="5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cantSplit/>
          <w:tblHeader/>
        </w:trPr>
        <w:tc>
          <w:tcPr>
            <w:tcW w:type="dxa" w:w="30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Method</w:t>
            </w:r>
          </w:p>
        </w:tc>
        <w:tc>
          <w:tcPr>
            <w:tcW w:type="dxa" w:w="20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Auth</w:t>
            </w:r>
          </w:p>
        </w:tc>
        <w:tc>
          <w:tcPr>
            <w:tcW w:type="dxa" w:w="436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Behavior</w:t>
            </w:r>
          </w:p>
        </w:tc>
      </w:tr>
      <w:tr>
        <w:trPr>
          <w:cantSplit/>
        </w:trPr>
        <w:tc>
          <w:tcPr>
            <w:tcW w:type="dxa" w:w="30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POST /v1/liquidations</w:t>
            </w:r>
          </w:p>
        </w:tc>
        <w:tc>
          <w:tcPr>
            <w:tcW w:type="dxa" w:w="20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Keeper (rate limit)</w:t>
            </w:r>
          </w:p>
        </w:tc>
        <w:tc>
          <w:tcPr>
            <w:tcW w:type="dxa" w:w="43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Idempotent public RFQ</w:t>
            </w:r>
          </w:p>
        </w:tc>
      </w:tr>
      <w:tr>
        <w:trPr>
          <w:cantSplit/>
        </w:trPr>
        <w:tc>
          <w:tcPr>
            <w:tcW w:type="dxa" w:w="30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GET /v1/liquidations</w:t>
            </w:r>
          </w:p>
        </w:tc>
        <w:tc>
          <w:tcPr>
            <w:tcW w:type="dxa" w:w="20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Public</w:t>
            </w:r>
          </w:p>
        </w:tc>
        <w:tc>
          <w:tcPr>
            <w:tcW w:type="dxa" w:w="43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List: pair, size, min_out, deadline, status, optional bid count</w:t>
            </w:r>
          </w:p>
        </w:tc>
      </w:tr>
      <w:tr>
        <w:trPr>
          <w:cantSplit/>
        </w:trPr>
        <w:tc>
          <w:tcPr>
            <w:tcW w:type="dxa" w:w="30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GET /v1/liquidations/:id</w:t>
            </w:r>
          </w:p>
        </w:tc>
        <w:tc>
          <w:tcPr>
            <w:tcW w:type="dxa" w:w="20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Public</w:t>
            </w:r>
          </w:p>
        </w:tc>
        <w:tc>
          <w:tcPr>
            <w:tcW w:type="dxa" w:w="43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Detail without losing prices or calldata</w:t>
            </w:r>
          </w:p>
        </w:tc>
      </w:tr>
      <w:tr>
        <w:trPr>
          <w:cantSplit/>
        </w:trPr>
        <w:tc>
          <w:tcPr>
            <w:tcW w:type="dxa" w:w="30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POST /v1/bids</w:t>
            </w:r>
          </w:p>
        </w:tc>
        <w:tc>
          <w:tcPr>
            <w:tcW w:type="dxa" w:w="20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LP</w:t>
            </w:r>
          </w:p>
        </w:tc>
        <w:tc>
          <w:tcPr>
            <w:tcW w:type="dxa" w:w="43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TLS EIP-712 order</w:t>
            </w:r>
          </w:p>
        </w:tc>
      </w:tr>
      <w:tr>
        <w:trPr>
          <w:cantSplit/>
        </w:trPr>
        <w:tc>
          <w:tcPr>
            <w:tcW w:type="dxa" w:w="30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POST /v1/standing-bids</w:t>
            </w:r>
          </w:p>
        </w:tc>
        <w:tc>
          <w:tcPr>
            <w:tcW w:type="dxa" w:w="20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LP</w:t>
            </w:r>
          </w:p>
        </w:tc>
        <w:tc>
          <w:tcPr>
            <w:tcW w:type="dxa" w:w="43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Register or revoke</w:t>
            </w:r>
          </w:p>
        </w:tc>
      </w:tr>
      <w:tr>
        <w:trPr>
          <w:cantSplit/>
        </w:trPr>
        <w:tc>
          <w:tcPr>
            <w:tcW w:type="dxa" w:w="30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GET /v1/standing-bids/me</w:t>
            </w:r>
          </w:p>
        </w:tc>
        <w:tc>
          <w:tcPr>
            <w:tcW w:type="dxa" w:w="20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LP</w:t>
            </w:r>
          </w:p>
        </w:tc>
        <w:tc>
          <w:tcPr>
            <w:tcW w:type="dxa" w:w="43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Own orders only</w:t>
            </w:r>
          </w:p>
        </w:tc>
      </w:tr>
      <w:tr>
        <w:trPr>
          <w:cantSplit/>
        </w:trPr>
        <w:tc>
          <w:tcPr>
            <w:tcW w:type="dxa" w:w="30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GET /v1/liquidations/:id/route</w:t>
            </w:r>
          </w:p>
        </w:tc>
        <w:tc>
          <w:tcPr>
            <w:tcW w:type="dxa" w:w="20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Bound winner</w:t>
            </w:r>
          </w:p>
        </w:tc>
        <w:tc>
          <w:tcPr>
            <w:tcW w:type="dxa" w:w="43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Unsigned executeLiquidationRoute or fail-closed reason</w:t>
            </w:r>
          </w:p>
        </w:tc>
      </w:tr>
      <w:tr>
        <w:trPr>
          <w:cantSplit/>
        </w:trPr>
        <w:tc>
          <w:tcPr>
            <w:tcW w:type="dxa" w:w="30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GET /v1/facilities</w:t>
            </w:r>
          </w:p>
        </w:tc>
        <w:tc>
          <w:tcPr>
            <w:tcW w:type="dxa" w:w="20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Public</w:t>
            </w:r>
          </w:p>
        </w:tc>
        <w:tc>
          <w:tcPr>
            <w:tcW w:type="dxa" w:w="43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NAV, haircut, caps, allocations</w:t>
            </w:r>
          </w:p>
        </w:tc>
      </w:tr>
      <w:tr>
        <w:trPr>
          <w:cantSplit/>
        </w:trPr>
        <w:tc>
          <w:tcPr>
            <w:tcW w:type="dxa" w:w="30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GET /v1/oracles/:asset</w:t>
            </w:r>
          </w:p>
        </w:tc>
        <w:tc>
          <w:tcPr>
            <w:tcW w:type="dxa" w:w="20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Public</w:t>
            </w:r>
          </w:p>
        </w:tc>
        <w:tc>
          <w:tcPr>
            <w:tcW w:type="dxa" w:w="43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Freshness, pause, sequencer</w:t>
            </w:r>
          </w:p>
        </w:tc>
      </w:tr>
      <w:tr>
        <w:trPr>
          <w:cantSplit/>
        </w:trPr>
        <w:tc>
          <w:tcPr>
            <w:tcW w:type="dxa" w:w="30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GET /v1/ws</w:t>
            </w:r>
          </w:p>
        </w:tc>
        <w:tc>
          <w:tcPr>
            <w:tcW w:type="dxa" w:w="20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Authenticated</w:t>
            </w:r>
          </w:p>
        </w:tc>
        <w:tc>
          <w:tcPr>
            <w:tcW w:type="dxa" w:w="43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route_ready, rank_failed, rfq_expired</w:t>
            </w:r>
          </w:p>
        </w:tc>
      </w:tr>
    </w:tbl>
    <w:p>
      <w:pPr>
        <w:spacing w:after="120"/>
      </w:pPr>
    </w:p>
    <w:p>
      <w:pPr>
        <w:spacing w:after="160" w:before="0" w:line="276"/>
      </w:pPr>
      <w:r>
        <w:rPr>
          <w:rFonts w:ascii="Arial" w:cs="Arial" w:eastAsia="Arial" w:hAnsi="Arial"/>
          <w:sz w:val="22"/>
          <w:szCs w:val="22"/>
        </w:rPr>
        <w:t xml:space="preserve">Fail-closed reasons: NO_ELIGIBLE_BID, FLOOR_NOT_MET, ORACLE_UNAVAILABLE, B20_PAUSED, SEQUENCER_DOWN, EXPIRED.</w:t>
      </w:r>
    </w:p>
    <w:p>
      <w:pPr>
        <w:spacing w:after="160" w:before="0" w:line="276"/>
      </w:pPr>
      <w:r>
        <w:rPr>
          <w:rFonts w:ascii="Arial" w:cs="Arial" w:eastAsia="Arial" w:hAnsi="Arial"/>
          <w:sz w:val="22"/>
          <w:szCs w:val="22"/>
        </w:rPr>
        <w:t xml:space="preserve">There is no caller-authenticated POST /v1/liquidations/:id/rank. Ranking is an internal worker. A circular “authenticate as the winner to rank” endpoint is not part of this design.</w:t>
      </w:r>
    </w:p>
    <w:p>
      <w:pPr>
        <w:pStyle w:val="Heading1"/>
        <w:pBdr>
          <w:bottom w:val="single" w:color="1F4E79" w:sz="8" w:space="4"/>
        </w:pBdr>
        <w:spacing w:after="160" w:before="320"/>
      </w:pPr>
      <w:bookmarkStart w:name="sec-12" w:id="59"/>
      <w:r>
        <w:rPr>
          <w:rFonts w:ascii="Arial" w:cs="Arial" w:eastAsia="Arial" w:hAnsi="Arial"/>
          <w:b/>
          <w:bCs/>
          <w:color w:val="1F4E79"/>
          <w:sz w:val="32"/>
          <w:szCs w:val="32"/>
        </w:rPr>
        <w:t xml:space="preserve">12. STRIDE threat model</w:t>
      </w:r>
      <w:bookmarkEnd w:id="5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20"/>
        <w:gridCol w:w="2880"/>
        <w:gridCol w:w="3960"/>
      </w:tblGrid>
      <w:tr>
        <w:trPr>
          <w:cantSplit/>
          <w:tblHeader/>
        </w:trPr>
        <w:tc>
          <w:tcPr>
            <w:tcW w:type="dxa" w:w="18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Threat</w:t>
            </w:r>
          </w:p>
        </w:tc>
        <w:tc>
          <w:tcPr>
            <w:tcW w:type="dxa" w:w="72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Type</w:t>
            </w:r>
          </w:p>
        </w:tc>
        <w:tc>
          <w:tcPr>
            <w:tcW w:type="dxa" w:w="288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Scenario</w:t>
            </w:r>
          </w:p>
        </w:tc>
        <w:tc>
          <w:tcPr>
            <w:tcW w:type="dxa" w:w="396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Mitigation</w:t>
            </w:r>
          </w:p>
        </w:tc>
      </w:tr>
      <w:tr>
        <w:trPr>
          <w:cantSplit/>
        </w:trPr>
        <w:tc>
          <w:tcPr>
            <w:tcW w:type="dxa" w:w="1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Identity spoofing</w:t>
            </w:r>
          </w:p>
        </w:tc>
        <w:tc>
          <w:tcPr>
            <w:tcW w:type="dxa" w:w="72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w:t>
            </w:r>
          </w:p>
        </w:tc>
        <w:tc>
          <w:tcPr>
            <w:tcW w:type="dxa" w:w="28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Fake LP bid or stolen hot key</w:t>
            </w:r>
          </w:p>
        </w:tc>
        <w:tc>
          <w:tcPr>
            <w:tcW w:type="dxa" w:w="39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EIP-712 domain binds chainId and verifying contract. Delegated signers via registerOrderSigner, revocable. ERC-1271 for smart accounts. msg.sender == winner.</w:t>
            </w:r>
          </w:p>
        </w:tc>
      </w:tr>
      <w:tr>
        <w:trPr>
          <w:cantSplit/>
        </w:trPr>
        <w:tc>
          <w:tcPr>
            <w:tcW w:type="dxa" w:w="1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Seize tampering</w:t>
            </w:r>
          </w:p>
        </w:tc>
        <w:tc>
          <w:tcPr>
            <w:tcW w:type="dxa" w:w="72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T</w:t>
            </w:r>
          </w:p>
        </w:tc>
        <w:tc>
          <w:tcPr>
            <w:tcW w:type="dxa" w:w="288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Ranker or facility tries to extract extra collateral</w:t>
            </w:r>
          </w:p>
        </w:tc>
        <w:tc>
          <w:tcPr>
            <w:tcW w:type="dxa" w:w="39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Venue-fixed seize. Dual min_out after one fee. Aerodrome max-seize floor fail-closed. Solidity does not trust API ranking. Balance-delta accounting. Typed adapters, no user calldata.</w:t>
            </w:r>
          </w:p>
        </w:tc>
      </w:tr>
      <w:tr>
        <w:trPr>
          <w:cantSplit/>
        </w:trPr>
        <w:tc>
          <w:tcPr>
            <w:tcW w:type="dxa" w:w="1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Trade denial</w:t>
            </w:r>
          </w:p>
        </w:tc>
        <w:tc>
          <w:tcPr>
            <w:tcW w:type="dxa" w:w="72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w:t>
            </w:r>
          </w:p>
        </w:tc>
        <w:tc>
          <w:tcPr>
            <w:tcW w:type="dxa" w:w="28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LP denies a filled order</w:t>
            </w:r>
          </w:p>
        </w:tc>
        <w:tc>
          <w:tcPr>
            <w:tcW w:type="dxa" w:w="39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On-chain Fill / RouteFilled with order hash, amounts, addresses. Signature recoverable.</w:t>
            </w:r>
          </w:p>
        </w:tc>
      </w:tr>
      <w:tr>
        <w:trPr>
          <w:cantSplit/>
        </w:trPr>
        <w:tc>
          <w:tcPr>
            <w:tcW w:type="dxa" w:w="1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Information leak</w:t>
            </w:r>
          </w:p>
        </w:tc>
        <w:tc>
          <w:tcPr>
            <w:tcW w:type="dxa" w:w="72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I</w:t>
            </w:r>
          </w:p>
        </w:tc>
        <w:tc>
          <w:tcPr>
            <w:tcW w:type="dxa" w:w="288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Copy LP inventory policy from a public book</w:t>
            </w:r>
          </w:p>
        </w:tc>
        <w:tc>
          <w:tcPr>
            <w:tcW w:type="dxa" w:w="39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Losing LP prices unpublished. TLS bid intake. Structured logs omit losing prices. Winner-only unsigned calldata. Facility quotes are public by design.</w:t>
            </w:r>
          </w:p>
        </w:tc>
      </w:tr>
      <w:tr>
        <w:trPr>
          <w:cantSplit/>
        </w:trPr>
        <w:tc>
          <w:tcPr>
            <w:tcW w:type="dxa" w:w="18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Service disruption</w:t>
            </w:r>
          </w:p>
        </w:tc>
        <w:tc>
          <w:tcPr>
            <w:tcW w:type="dxa" w:w="72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w:t>
            </w:r>
          </w:p>
        </w:tc>
        <w:tc>
          <w:tcPr>
            <w:tcW w:type="dxa" w:w="28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RFQ flood, ranker stall, sequencer halt</w:t>
            </w:r>
          </w:p>
        </w:tc>
        <w:tc>
          <w:tcPr>
            <w:tcW w:type="dxa" w:w="39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Keeper POST rate limits. Idempotent opportunity keys. Oracle and sequencer fail closed, not fail open. Indexer is not on the settlement path.</w:t>
            </w:r>
          </w:p>
        </w:tc>
      </w:tr>
      <w:tr>
        <w:trPr>
          <w:cantSplit/>
        </w:trPr>
        <w:tc>
          <w:tcPr>
            <w:tcW w:type="dxa" w:w="18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Privilege escalation</w:t>
            </w:r>
          </w:p>
        </w:tc>
        <w:tc>
          <w:tcPr>
            <w:tcW w:type="dxa" w:w="72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E</w:t>
            </w:r>
          </w:p>
        </w:tc>
        <w:tc>
          <w:tcPr>
            <w:tcW w:type="dxa" w:w="288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Malicious adapter or API key drains a facility</w:t>
            </w:r>
          </w:p>
        </w:tc>
        <w:tc>
          <w:tcPr>
            <w:tcW w:type="dxa" w:w="39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Adapter allowlist, fixed interfaces, no delegatecall to arbitrary addresses. Keyless API. Curator cannot upgrade fund logic. Fee cap 50 bps. Guardian pause.</w:t>
            </w:r>
          </w:p>
        </w:tc>
      </w:tr>
    </w:tbl>
    <w:p>
      <w:pPr>
        <w:spacing w:after="120"/>
      </w:pPr>
    </w:p>
    <w:p>
      <w:pPr>
        <w:pStyle w:val="Heading2"/>
        <w:spacing w:after="120" w:before="260"/>
      </w:pPr>
      <w:bookmarkStart w:name="sec-12-1" w:id="60"/>
      <w:r>
        <w:rPr>
          <w:rFonts w:ascii="Arial" w:cs="Arial" w:eastAsia="Arial" w:hAnsi="Arial"/>
          <w:b/>
          <w:bCs/>
          <w:color w:val="1F4E79"/>
          <w:sz w:val="26"/>
          <w:szCs w:val="26"/>
        </w:rPr>
        <w:t xml:space="preserve">12.1 EVM protocol-level protections</w:t>
      </w:r>
      <w:bookmarkEnd w:id="6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Protection</w:t>
            </w:r>
          </w:p>
        </w:tc>
        <w:tc>
          <w:tcPr>
            <w:tcW w:type="dxa" w:w="616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Mechanism</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Anti-replay</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EIP-712 domain, order salt, usedRfqIds, cancelledSalt, maxDecisionBlockAge</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Anti-reentrancy</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Router reentrancy guard. Checks-effects-interactions. No untrusted delegatecall</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Sequencer</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Uptime feed. Answer 1 or inside grace: revert</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Fund isolation</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Non-custodial API. USDC pull after maker approve. Facility fund only for allowlisted liquidation</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B20 policy</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isAuthorized at every stock-token boundary. TRANSFER/SEIZE pause fail closed</w:t>
            </w:r>
          </w:p>
        </w:tc>
      </w:tr>
    </w:tbl>
    <w:p>
      <w:pPr>
        <w:spacing w:after="120"/>
      </w:pPr>
    </w:p>
    <w:p>
      <w:pPr>
        <w:pStyle w:val="Heading2"/>
        <w:spacing w:after="120" w:before="260"/>
      </w:pPr>
      <w:bookmarkStart w:name="sec-12-2" w:id="61"/>
      <w:r>
        <w:rPr>
          <w:rFonts w:ascii="Arial" w:cs="Arial" w:eastAsia="Arial" w:hAnsi="Arial"/>
          <w:b/>
          <w:bCs/>
          <w:color w:val="1F4E79"/>
          <w:sz w:val="26"/>
          <w:szCs w:val="26"/>
        </w:rPr>
        <w:t xml:space="preserve">12.2 Upgrade and admin</w:t>
      </w:r>
      <w:bookmarkEnd w:id="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cantSplit/>
          <w:tblHeader/>
        </w:trPr>
        <w:tc>
          <w:tcPr>
            <w:tcW w:type="dxa" w:w="22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Role</w:t>
            </w:r>
          </w:p>
        </w:tc>
        <w:tc>
          <w:tcPr>
            <w:tcW w:type="dxa" w:w="358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Powers</w:t>
            </w:r>
          </w:p>
        </w:tc>
        <w:tc>
          <w:tcPr>
            <w:tcW w:type="dxa" w:w="358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Bound</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Guardian (multisig)</w:t>
            </w:r>
          </w:p>
        </w:tc>
        <w:tc>
          <w:tcPr>
            <w:tcW w:type="dxa" w:w="35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Pause router and facilities, revoke adapters</w:t>
            </w:r>
          </w:p>
        </w:tc>
        <w:tc>
          <w:tcPr>
            <w:tcW w:type="dxa" w:w="35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Immediate pause</w:t>
            </w:r>
          </w:p>
        </w:tc>
      </w:tr>
      <w:tr>
        <w:trPr>
          <w:cantSplit/>
        </w:trPr>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Timelock</w:t>
            </w:r>
          </w:p>
        </w:tc>
        <w:tc>
          <w:tcPr>
            <w:tcW w:type="dxa" w:w="358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Allowlist adapters, set fee (≤ 50 bps), upgrade proxies, pin oracle config</w:t>
            </w:r>
          </w:p>
        </w:tc>
        <w:tc>
          <w:tcPr>
            <w:tcW w:type="dxa" w:w="358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Mainnet gate</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Curator</w:t>
            </w:r>
          </w:p>
        </w:tc>
        <w:tc>
          <w:tcPr>
            <w:tcW w:type="dxa" w:w="35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Haircut within bounds, allocate/deallocate, pause own quoting</w:t>
            </w:r>
          </w:p>
        </w:tc>
        <w:tc>
          <w:tcPr>
            <w:tcW w:type="dxa" w:w="35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Cannot upgrade deposited-fund logic</w:t>
            </w:r>
          </w:p>
        </w:tc>
      </w:tr>
      <w:tr>
        <w:trPr>
          <w:cantSplit/>
        </w:trPr>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Facility executor</w:t>
            </w:r>
          </w:p>
        </w:tc>
        <w:tc>
          <w:tcPr>
            <w:tcW w:type="dxa" w:w="358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Submit facility-won route</w:t>
            </w:r>
          </w:p>
        </w:tc>
        <w:tc>
          <w:tcPr>
            <w:tcW w:type="dxa" w:w="358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Named EOA or ERC-1271</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Default admin</w:t>
            </w:r>
          </w:p>
        </w:tc>
        <w:tc>
          <w:tcPr>
            <w:tcW w:type="dxa" w:w="35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Transfer roles</w:t>
            </w:r>
          </w:p>
        </w:tc>
        <w:tc>
          <w:tcPr>
            <w:tcW w:type="dxa" w:w="35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Guardian / timelock, not the API</w:t>
            </w:r>
          </w:p>
        </w:tc>
      </w:tr>
    </w:tbl>
    <w:p>
      <w:pPr>
        <w:spacing w:after="120"/>
      </w:pPr>
    </w:p>
    <w:p>
      <w:pPr>
        <w:spacing w:after="160" w:before="0" w:line="276"/>
      </w:pPr>
      <w:r>
        <w:rPr>
          <w:rFonts w:ascii="Arial" w:cs="Arial" w:eastAsia="Arial" w:hAnsi="Arial"/>
          <w:sz w:val="22"/>
          <w:szCs w:val="22"/>
        </w:rPr>
        <w:t xml:space="preserve">Upgrade model: UUPS or Transparent proxy for router, settlement, aggregator, and facilities. Adapter bytecode is pinned. A venue upgrade is a new allowlisted adapter. Mainnet requires guardian, timelock, and an external audit.</w:t>
      </w:r>
    </w:p>
    <w:p>
      <w:pPr>
        <w:pStyle w:val="Heading1"/>
        <w:pBdr>
          <w:bottom w:val="single" w:color="1F4E79" w:sz="8" w:space="4"/>
        </w:pBdr>
        <w:spacing w:after="160" w:before="320"/>
      </w:pPr>
      <w:bookmarkStart w:name="sec-13" w:id="62"/>
      <w:r>
        <w:rPr>
          <w:rFonts w:ascii="Arial" w:cs="Arial" w:eastAsia="Arial" w:hAnsi="Arial"/>
          <w:b/>
          <w:bCs/>
          <w:color w:val="1F4E79"/>
          <w:sz w:val="32"/>
          <w:szCs w:val="32"/>
        </w:rPr>
        <w:t xml:space="preserve">13. Component summary</w:t>
      </w:r>
      <w:bookmarkEnd w:id="62"/>
    </w:p>
    <w:p>
      <w:pPr>
        <w:spacing w:after="160" w:before="0" w:line="276"/>
      </w:pPr>
      <w:r>
        <w:rPr>
          <w:rFonts w:ascii="Arial" w:cs="Arial" w:eastAsia="Arial" w:hAnsi="Arial"/>
          <w:sz w:val="22"/>
          <w:szCs w:val="22"/>
        </w:rPr>
        <w:t xml:space="preserve">Off-chain: React 19 + Vite frontend, NestJS backend, MongoDB read model, indexer, keepers. On-chain: RFQ Router, Settlement, Facility Aggregator, Liquidity Facilities, yield and liquidation adapters, OracleGuard, B20Guard. External: MetaMask / ERC-1271, Chainlink + sequencer, B20 policy + oracle pause, Aerodrome floor.</w:t>
      </w:r>
    </w:p>
    <w:p>
      <w:pPr>
        <w:spacing w:after="160" w:before="0" w:line="276"/>
      </w:pPr>
      <w:r>
        <w:rPr>
          <w:rFonts w:ascii="Arial" w:cs="Arial" w:eastAsia="Arial" w:hAnsi="Arial"/>
          <w:sz w:val="22"/>
          <w:szCs w:val="22"/>
        </w:rPr>
        <w:t xml:space="preserve">The frontend signs typed data and sends the winner transaction. The backend eth_calls quotes and returns an unsigned route to the bound winner only. The ranker reads Aerodrome; it does not swap there.</w:t>
      </w:r>
    </w:p>
    <w:p>
      <w:pPr>
        <w:spacing w:after="160" w:before="0" w:line="276"/>
      </w:pPr>
      <w:r>
        <w:rPr>
          <w:rFonts w:ascii="Arial" w:cs="Arial" w:eastAsia="Arial" w:hAnsi="Arial"/>
          <w:sz w:val="22"/>
          <w:szCs w:val="22"/>
        </w:rPr>
        <w:t xml:space="preserve">v1 ships a credit desk: USDC facilities, typed liquidation, public RFQ, keyless coordination. It does not ship a swap page, confidential compute, or a second seize price. Losing LP prices stay unpublished. Only the bound winner settles.</w:t>
      </w:r>
    </w:p>
    <w:p>
      <w:pPr>
        <w:pStyle w:val="Heading1"/>
        <w:pBdr>
          <w:bottom w:val="single" w:color="1F4E79" w:sz="8" w:space="4"/>
        </w:pBdr>
        <w:spacing w:after="160" w:before="320"/>
      </w:pPr>
      <w:bookmarkStart w:name="app-a" w:id="63"/>
      <w:r>
        <w:rPr>
          <w:rFonts w:ascii="Arial" w:cs="Arial" w:eastAsia="Arial" w:hAnsi="Arial"/>
          <w:b/>
          <w:bCs/>
          <w:color w:val="1F4E79"/>
          <w:sz w:val="32"/>
          <w:szCs w:val="32"/>
        </w:rPr>
        <w:t xml:space="preserve">Appendix A. Locked design decisions</w:t>
      </w:r>
      <w:bookmarkEnd w:id="63"/>
    </w:p>
    <w:p>
      <w:pPr>
        <w:spacing w:after="160" w:before="0" w:line="276"/>
      </w:pPr>
      <w:r>
        <w:rPr>
          <w:rFonts w:ascii="Arial" w:cs="Arial" w:eastAsia="Arial" w:hAnsi="Arial"/>
          <w:sz w:val="22"/>
          <w:szCs w:val="22"/>
        </w:rPr>
        <w:t xml:space="preserve">These decisions are closed. Implementation follows them; it does not reopen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ID</w:t>
            </w:r>
          </w:p>
        </w:tc>
        <w:tc>
          <w:tcPr>
            <w:tcW w:type="dxa" w:w="616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Decision</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D1</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Public unified channel, not confidential compute</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D2</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Credit-first v1; spot auction later on the reserved executeSwapRoute seam</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D3</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Aerodrome is a max-seize floor, not a venue dump</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D4</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One ranking channel for LP bids, facility quotes, and the floor</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D5</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Typed liquidation, not generic calls or user calldata</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D6</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B20 policy at settlement; no extra desk KYC</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D7</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Parallel packages (apps/base-*, packages/base-*, contracts/base)</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D8</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Native Circle USDC only; reject USDbC</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D9</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Ranking off-chain; enforcement on-chain</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D10</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Integer ranking in packages/base-core (compareLiquidationBids)</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D11</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Funding auction at venue-fixed seize, not a rebate auction</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D12</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Winner submits; keepers do not</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D13</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Dual minimum collateral after one protocol fee</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D14</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Eligibility is B20 policy, not a desk list</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D15</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Internal ranker worker; winner-only GET /v1/liquidations/:id/route</w:t>
            </w:r>
          </w:p>
        </w:tc>
      </w:tr>
    </w:tbl>
    <w:p>
      <w:pPr>
        <w:pStyle w:val="Heading1"/>
        <w:pBdr>
          <w:bottom w:val="single" w:color="1F4E79" w:sz="8" w:space="4"/>
        </w:pBdr>
        <w:spacing w:after="160" w:before="320"/>
      </w:pPr>
      <w:bookmarkStart w:name="app-b" w:id="64"/>
      <w:r>
        <w:rPr>
          <w:rFonts w:ascii="Arial" w:cs="Arial" w:eastAsia="Arial" w:hAnsi="Arial"/>
          <w:b/>
          <w:bCs/>
          <w:color w:val="1F4E79"/>
          <w:sz w:val="32"/>
          <w:szCs w:val="32"/>
        </w:rPr>
        <w:t xml:space="preserve">Appendix B. Open implementation pins</w:t>
      </w:r>
      <w:bookmarkEnd w:id="64"/>
    </w:p>
    <w:p>
      <w:pPr>
        <w:spacing w:after="160" w:before="0" w:line="276"/>
      </w:pPr>
      <w:r>
        <w:rPr>
          <w:rFonts w:ascii="Arial" w:cs="Arial" w:eastAsia="Arial" w:hAnsi="Arial"/>
          <w:sz w:val="22"/>
          <w:szCs w:val="22"/>
        </w:rPr>
        <w:t xml:space="preserve">These items are required before mainnet funds. They are research and configuration, not design reopeners. This document does not invent addresses, grace periods, or bytecode hashes for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Item</w:t>
            </w:r>
          </w:p>
        </w:tc>
        <w:tc>
          <w:tcPr>
            <w:tcW w:type="dxa" w:w="616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Needed for</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Aave / Morpho / Euler market addresses and bytecode hashes</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Adapter pin at implementation</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Aerodrome pool / quoter addresses used for the max-seize floor</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Ranker floor read</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Sepolia B20 token and feed availability</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Testnet markets</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Coinbase onchain oracle-registry pause-flag interface</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OracleGuard</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Sequencer grace window after recovery</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OracleGuard fail-closed</w:t>
            </w:r>
          </w:p>
        </w:tc>
      </w:tr>
      <w:tr>
        <w:trPr>
          <w:cantSplit/>
        </w:trPr>
        <w:tc>
          <w:tcPr>
            <w:tcW w:type="dxa" w:w="3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maxDecisionBlockAge</w:t>
            </w:r>
          </w:p>
        </w:tc>
        <w:tc>
          <w:tcPr>
            <w:tcW w:type="dxa" w:w="616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Stale rank snapshot bound</w:t>
            </w:r>
          </w:p>
        </w:tc>
      </w:tr>
      <w:tr>
        <w:trPr>
          <w:cantSplit/>
        </w:trPr>
        <w:tc>
          <w:tcPr>
            <w:tcW w:type="dxa" w:w="3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Guardian, timelock, external audit</w:t>
            </w:r>
          </w:p>
        </w:tc>
        <w:tc>
          <w:tcPr>
            <w:tcW w:type="dxa" w:w="616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Mainnet gate</w:t>
            </w:r>
          </w:p>
        </w:tc>
      </w:tr>
    </w:tbl>
    <w:p>
      <w:pPr>
        <w:pStyle w:val="Heading1"/>
        <w:pBdr>
          <w:bottom w:val="single" w:color="1F4E79" w:sz="8" w:space="4"/>
        </w:pBdr>
        <w:spacing w:after="160" w:before="320"/>
      </w:pPr>
      <w:bookmarkStart w:name="app-c" w:id="65"/>
      <w:r>
        <w:rPr>
          <w:rFonts w:ascii="Arial" w:cs="Arial" w:eastAsia="Arial" w:hAnsi="Arial"/>
          <w:b/>
          <w:bCs/>
          <w:color w:val="1F4E79"/>
          <w:sz w:val="32"/>
          <w:szCs w:val="32"/>
        </w:rPr>
        <w:t xml:space="preserve">Appendix C. List of figures</w:t>
      </w:r>
      <w:bookmarkEnd w:id="6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cantSplit/>
          <w:tblHeader/>
        </w:trPr>
        <w:tc>
          <w:tcPr>
            <w:tcW w:type="dxa" w:w="220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Figure</w:t>
            </w:r>
          </w:p>
        </w:tc>
        <w:tc>
          <w:tcPr>
            <w:tcW w:type="dxa" w:w="358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Title</w:t>
            </w:r>
          </w:p>
        </w:tc>
        <w:tc>
          <w:tcPr>
            <w:tcW w:type="dxa" w:w="3580"/>
            <w:tcBorders>
              <w:top w:val="single" w:color="C8C8C8" w:sz="4"/>
              <w:left w:val="single" w:color="C8C8C8" w:sz="4"/>
              <w:bottom w:val="single" w:color="C8C8C8" w:sz="4"/>
              <w:right w:val="single" w:color="C8C8C8" w:sz="4"/>
            </w:tcBorders>
            <w:shd w:fill="1F4E79" w:val="clear"/>
            <w:tcMar>
              <w:top w:type="dxa" w:w="60"/>
              <w:left w:type="dxa" w:w="80"/>
              <w:bottom w:type="dxa" w:w="60"/>
              <w:right w:type="dxa" w:w="80"/>
            </w:tcMar>
            <w:vAlign w:val="center"/>
          </w:tcPr>
          <w:p>
            <w:pPr>
              <w:spacing w:after="0" w:line="240"/>
            </w:pPr>
            <w:r>
              <w:rPr>
                <w:rFonts w:ascii="Arial" w:cs="Arial" w:eastAsia="Arial" w:hAnsi="Arial"/>
                <w:b/>
                <w:bCs/>
                <w:color w:val="FFFFFF"/>
                <w:sz w:val="18"/>
                <w:szCs w:val="18"/>
              </w:rPr>
              <w:t xml:space="preserve">Source</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1</w:t>
            </w:r>
          </w:p>
        </w:tc>
        <w:tc>
          <w:tcPr>
            <w:tcW w:type="dxa" w:w="35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System overview</w:t>
            </w:r>
          </w:p>
        </w:tc>
        <w:tc>
          <w:tcPr>
            <w:tcW w:type="dxa" w:w="35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01-system-overview</w:t>
            </w:r>
          </w:p>
        </w:tc>
      </w:tr>
      <w:tr>
        <w:trPr>
          <w:cantSplit/>
        </w:trPr>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2</w:t>
            </w:r>
          </w:p>
        </w:tc>
        <w:tc>
          <w:tcPr>
            <w:tcW w:type="dxa" w:w="358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Detailed components</w:t>
            </w:r>
          </w:p>
        </w:tc>
        <w:tc>
          <w:tcPr>
            <w:tcW w:type="dxa" w:w="358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02-detailed-components</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3</w:t>
            </w:r>
          </w:p>
        </w:tc>
        <w:tc>
          <w:tcPr>
            <w:tcW w:type="dxa" w:w="35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LP-won liquidation sequence</w:t>
            </w:r>
          </w:p>
        </w:tc>
        <w:tc>
          <w:tcPr>
            <w:tcW w:type="dxa" w:w="35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03-sequence-lp-won</w:t>
            </w:r>
          </w:p>
        </w:tc>
      </w:tr>
      <w:tr>
        <w:trPr>
          <w:cantSplit/>
        </w:trPr>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4</w:t>
            </w:r>
          </w:p>
        </w:tc>
        <w:tc>
          <w:tcPr>
            <w:tcW w:type="dxa" w:w="358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Facility-won liquidation sequence</w:t>
            </w:r>
          </w:p>
        </w:tc>
        <w:tc>
          <w:tcPr>
            <w:tcW w:type="dxa" w:w="358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04-sequence-facility-won</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5</w:t>
            </w:r>
          </w:p>
        </w:tc>
        <w:tc>
          <w:tcPr>
            <w:tcW w:type="dxa" w:w="35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Facility deposit, withdraw, and FIFO queue</w:t>
            </w:r>
          </w:p>
        </w:tc>
        <w:tc>
          <w:tcPr>
            <w:tcW w:type="dxa" w:w="35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05-facility-deposit-withdraw</w:t>
            </w:r>
          </w:p>
        </w:tc>
      </w:tr>
      <w:tr>
        <w:trPr>
          <w:cantSplit/>
        </w:trPr>
        <w:tc>
          <w:tcPr>
            <w:tcW w:type="dxa" w:w="220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6</w:t>
            </w:r>
          </w:p>
        </w:tc>
        <w:tc>
          <w:tcPr>
            <w:tcW w:type="dxa" w:w="358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Deployment topology</w:t>
            </w:r>
          </w:p>
        </w:tc>
        <w:tc>
          <w:tcPr>
            <w:tcW w:type="dxa" w:w="3580"/>
            <w:tcBorders>
              <w:top w:val="single" w:color="C8C8C8" w:sz="4"/>
              <w:left w:val="single" w:color="C8C8C8" w:sz="4"/>
              <w:bottom w:val="single" w:color="C8C8C8" w:sz="4"/>
              <w:right w:val="single" w:color="C8C8C8" w:sz="4"/>
            </w:tcBorders>
            <w:shd w:fill="F4F7FA"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07-deployment</w:t>
            </w:r>
          </w:p>
        </w:tc>
      </w:tr>
      <w:tr>
        <w:trPr>
          <w:cantSplit/>
        </w:trPr>
        <w:tc>
          <w:tcPr>
            <w:tcW w:type="dxa" w:w="220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7</w:t>
            </w:r>
          </w:p>
        </w:tc>
        <w:tc>
          <w:tcPr>
            <w:tcW w:type="dxa" w:w="35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Contract interfaces and structs</w:t>
            </w:r>
          </w:p>
        </w:tc>
        <w:tc>
          <w:tcPr>
            <w:tcW w:type="dxa" w:w="3580"/>
            <w:tcBorders>
              <w:top w:val="single" w:color="C8C8C8" w:sz="4"/>
              <w:left w:val="single" w:color="C8C8C8" w:sz="4"/>
              <w:bottom w:val="single" w:color="C8C8C8" w:sz="4"/>
              <w:right w:val="single" w:color="C8C8C8" w:sz="4"/>
            </w:tcBorders>
            <w:shd w:fill="FFFFFF" w:val="clear"/>
            <w:tcMar>
              <w:top w:type="dxa" w:w="60"/>
              <w:left w:type="dxa" w:w="80"/>
              <w:bottom w:type="dxa" w:w="60"/>
              <w:right w:type="dxa" w:w="80"/>
            </w:tcMar>
            <w:vAlign w:val="center"/>
          </w:tcPr>
          <w:p>
            <w:pPr>
              <w:spacing w:after="0" w:line="240"/>
            </w:pPr>
            <w:r>
              <w:rPr>
                <w:rFonts w:ascii="Arial" w:cs="Arial" w:eastAsia="Arial" w:hAnsi="Arial"/>
                <w:b w:val="false"/>
                <w:bCs w:val="false"/>
                <w:sz w:val="18"/>
                <w:szCs w:val="18"/>
              </w:rPr>
              <w:t xml:space="preserve">06-class-interfaces</w:t>
            </w:r>
          </w:p>
        </w:tc>
      </w:tr>
    </w:tbl>
    <w:sectPr>
      <w:headerReference w:type="default" r:id="rId31"/>
      <w:footerReference w:type="default" r:id="rId3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8" w:space="6"/>
      </w:pBdr>
      <w:tabs>
        <w:tab w:val="right" w:pos="9026"/>
      </w:tabs>
      <w:spacing w:before="80"/>
    </w:pPr>
    <w:r>
      <w:rPr>
        <w:rFonts w:ascii="Arial" w:cs="Arial" w:eastAsia="Arial" w:hAnsi="Arial"/>
        <w:color w:val="595959"/>
        <w:sz w:val="16"/>
        <w:szCs w:val="16"/>
      </w:rPr>
      <w:t xml:space="preserve">Internal  ·  Version 1.0  ·  8 September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8" w:space="6"/>
      </w:pBdr>
      <w:tabs>
        <w:tab w:val="right" w:pos="9026"/>
      </w:tabs>
      <w:spacing w:before="80"/>
    </w:pPr>
    <w:r>
      <w:rPr>
        <w:rFonts w:ascii="Arial" w:cs="Arial" w:eastAsia="Arial" w:hAnsi="Arial"/>
        <w:color w:val="595959"/>
        <w:sz w:val="16"/>
        <w:szCs w:val="16"/>
      </w:rPr>
      <w:t xml:space="preserve">Internal  ·  Version 1.0  ·  8 September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8" w:space="6"/>
      </w:pBdr>
      <w:tabs>
        <w:tab w:val="right" w:pos="9026"/>
      </w:tabs>
      <w:spacing w:before="80"/>
    </w:pPr>
    <w:r>
      <w:rPr>
        <w:rFonts w:ascii="Arial" w:cs="Arial" w:eastAsia="Arial" w:hAnsi="Arial"/>
        <w:color w:val="595959"/>
        <w:sz w:val="16"/>
        <w:szCs w:val="16"/>
      </w:rPr>
      <w:t xml:space="preserve">Internal  ·  Version 1.0  ·  8 September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8" w:space="6"/>
      </w:pBdr>
      <w:tabs>
        <w:tab w:val="right" w:pos="9026"/>
      </w:tabs>
      <w:spacing w:before="80"/>
    </w:pPr>
    <w:r>
      <w:rPr>
        <w:rFonts w:ascii="Arial" w:cs="Arial" w:eastAsia="Arial" w:hAnsi="Arial"/>
        <w:color w:val="595959"/>
        <w:sz w:val="16"/>
        <w:szCs w:val="16"/>
      </w:rPr>
      <w:t xml:space="preserve">Internal  ·  Version 1.0  ·  8 September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8" w:space="6"/>
      </w:pBdr>
      <w:tabs>
        <w:tab w:val="right" w:pos="9026"/>
      </w:tabs>
      <w:spacing w:before="80"/>
    </w:pPr>
    <w:r>
      <w:rPr>
        <w:rFonts w:ascii="Arial" w:cs="Arial" w:eastAsia="Arial" w:hAnsi="Arial"/>
        <w:color w:val="595959"/>
        <w:sz w:val="16"/>
        <w:szCs w:val="16"/>
      </w:rPr>
      <w:t xml:space="preserve">Internal  ·  Version 1.0  ·  8 September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8" w:space="6"/>
      </w:pBdr>
      <w:tabs>
        <w:tab w:val="right" w:pos="9026"/>
      </w:tabs>
      <w:spacing w:before="80"/>
    </w:pPr>
    <w:r>
      <w:rPr>
        <w:rFonts w:ascii="Arial" w:cs="Arial" w:eastAsia="Arial" w:hAnsi="Arial"/>
        <w:color w:val="595959"/>
        <w:sz w:val="16"/>
        <w:szCs w:val="16"/>
      </w:rPr>
      <w:t xml:space="preserve">Internal  ·  Version 1.0  ·  8 September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8" w:space="6"/>
      </w:pBdr>
      <w:tabs>
        <w:tab w:val="right" w:pos="9026"/>
      </w:tabs>
      <w:spacing w:before="80"/>
    </w:pPr>
    <w:r>
      <w:rPr>
        <w:rFonts w:ascii="Arial" w:cs="Arial" w:eastAsia="Arial" w:hAnsi="Arial"/>
        <w:color w:val="595959"/>
        <w:sz w:val="16"/>
        <w:szCs w:val="16"/>
      </w:rPr>
      <w:t xml:space="preserve">Internal  ·  Version 1.0  ·  8 September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8" w:space="6"/>
      </w:pBdr>
      <w:tabs>
        <w:tab w:val="right" w:pos="9026"/>
      </w:tabs>
      <w:spacing w:before="80"/>
    </w:pPr>
    <w:r>
      <w:rPr>
        <w:rFonts w:ascii="Arial" w:cs="Arial" w:eastAsia="Arial" w:hAnsi="Arial"/>
        <w:color w:val="595959"/>
        <w:sz w:val="16"/>
        <w:szCs w:val="16"/>
      </w:rPr>
      <w:t xml:space="preserve">Internal  ·  Version 1.0  ·  8 September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8" w:space="6"/>
      </w:pBdr>
      <w:tabs>
        <w:tab w:val="right" w:pos="9026"/>
      </w:tabs>
      <w:spacing w:before="80"/>
    </w:pPr>
    <w:r>
      <w:rPr>
        <w:rFonts w:ascii="Arial" w:cs="Arial" w:eastAsia="Arial" w:hAnsi="Arial"/>
        <w:color w:val="595959"/>
        <w:sz w:val="16"/>
        <w:szCs w:val="16"/>
      </w:rPr>
      <w:t xml:space="preserve">Internal  ·  Version 1.0  ·  8 September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8" w:space="6"/>
      </w:pBdr>
      <w:tabs>
        <w:tab w:val="right" w:pos="9026"/>
      </w:tabs>
      <w:spacing w:before="80"/>
    </w:pPr>
    <w:r>
      <w:rPr>
        <w:rFonts w:ascii="Arial" w:cs="Arial" w:eastAsia="Arial" w:hAnsi="Arial"/>
        <w:color w:val="595959"/>
        <w:sz w:val="16"/>
        <w:szCs w:val="16"/>
      </w:rPr>
      <w:t xml:space="preserve">Internal  ·  Version 1.0  ·  8 September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8" w:space="6"/>
      </w:pBdr>
      <w:tabs>
        <w:tab w:val="right" w:pos="9026"/>
      </w:tabs>
      <w:spacing w:before="80"/>
    </w:pPr>
    <w:r>
      <w:rPr>
        <w:rFonts w:ascii="Arial" w:cs="Arial" w:eastAsia="Arial" w:hAnsi="Arial"/>
        <w:color w:val="595959"/>
        <w:sz w:val="16"/>
        <w:szCs w:val="16"/>
      </w:rPr>
      <w:t xml:space="preserve">Internal  ·  Version 1.0  ·  8 September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8" w:space="6"/>
      </w:pBdr>
      <w:tabs>
        <w:tab w:val="right" w:pos="9026"/>
      </w:tabs>
      <w:spacing w:before="80"/>
    </w:pPr>
    <w:r>
      <w:rPr>
        <w:rFonts w:ascii="Arial" w:cs="Arial" w:eastAsia="Arial" w:hAnsi="Arial"/>
        <w:color w:val="595959"/>
        <w:sz w:val="16"/>
        <w:szCs w:val="16"/>
      </w:rPr>
      <w:t xml:space="preserve">Internal  ·  Version 1.0  ·  8 September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6"/>
      </w:pBdr>
      <w:tabs>
        <w:tab w:val="right" w:pos="9026"/>
      </w:tabs>
      <w:spacing w:after="80"/>
    </w:pPr>
    <w:r>
      <w:rPr>
        <w:rFonts w:ascii="Arial" w:cs="Arial" w:eastAsia="Arial" w:hAnsi="Arial"/>
        <w:b/>
        <w:bCs/>
        <w:color w:val="1F4E79"/>
        <w:sz w:val="16"/>
        <w:szCs w:val="16"/>
      </w:rPr>
      <w:t xml:space="preserve">Katon Technical Architecture</w:t>
    </w:r>
    <w:r>
      <w:rPr>
        <w:rFonts w:ascii="Arial" w:cs="Arial" w:eastAsia="Arial" w:hAnsi="Arial"/>
        <w:color w:val="595959"/>
        <w:sz w:val="16"/>
        <w:szCs w:val="16"/>
      </w:rPr>
      <w:t xml:space="preserve">	Base tokenized-stock credit desk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6"/>
      </w:pBdr>
      <w:tabs>
        <w:tab w:val="right" w:pos="9026"/>
      </w:tabs>
      <w:spacing w:after="80"/>
    </w:pPr>
    <w:r>
      <w:rPr>
        <w:rFonts w:ascii="Arial" w:cs="Arial" w:eastAsia="Arial" w:hAnsi="Arial"/>
        <w:b/>
        <w:bCs/>
        <w:color w:val="1F4E79"/>
        <w:sz w:val="16"/>
        <w:szCs w:val="16"/>
      </w:rPr>
      <w:t xml:space="preserve">Katon Technical Architecture</w:t>
    </w:r>
    <w:r>
      <w:rPr>
        <w:rFonts w:ascii="Arial" w:cs="Arial" w:eastAsia="Arial" w:hAnsi="Arial"/>
        <w:color w:val="595959"/>
        <w:sz w:val="16"/>
        <w:szCs w:val="16"/>
      </w:rPr>
      <w:t xml:space="preserve">	Base tokenized-stock credit desk</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6"/>
      </w:pBdr>
      <w:tabs>
        <w:tab w:val="right" w:pos="9026"/>
      </w:tabs>
      <w:spacing w:after="80"/>
    </w:pPr>
    <w:r>
      <w:rPr>
        <w:rFonts w:ascii="Arial" w:cs="Arial" w:eastAsia="Arial" w:hAnsi="Arial"/>
        <w:b/>
        <w:bCs/>
        <w:color w:val="1F4E79"/>
        <w:sz w:val="16"/>
        <w:szCs w:val="16"/>
      </w:rPr>
      <w:t xml:space="preserve">Katon Technical Architecture</w:t>
    </w:r>
    <w:r>
      <w:rPr>
        <w:rFonts w:ascii="Arial" w:cs="Arial" w:eastAsia="Arial" w:hAnsi="Arial"/>
        <w:color w:val="595959"/>
        <w:sz w:val="16"/>
        <w:szCs w:val="16"/>
      </w:rPr>
      <w:t xml:space="preserve">	Base tokenized-stock credit desk</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6"/>
      </w:pBdr>
      <w:tabs>
        <w:tab w:val="right" w:pos="9026"/>
      </w:tabs>
      <w:spacing w:after="80"/>
    </w:pPr>
    <w:r>
      <w:rPr>
        <w:rFonts w:ascii="Arial" w:cs="Arial" w:eastAsia="Arial" w:hAnsi="Arial"/>
        <w:b/>
        <w:bCs/>
        <w:color w:val="1F4E79"/>
        <w:sz w:val="16"/>
        <w:szCs w:val="16"/>
      </w:rPr>
      <w:t xml:space="preserve">Katon Technical Architecture</w:t>
    </w:r>
    <w:r>
      <w:rPr>
        <w:rFonts w:ascii="Arial" w:cs="Arial" w:eastAsia="Arial" w:hAnsi="Arial"/>
        <w:color w:val="595959"/>
        <w:sz w:val="16"/>
        <w:szCs w:val="16"/>
      </w:rPr>
      <w:t xml:space="preserve">	Base tokenized-stock credit desk</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6"/>
      </w:pBdr>
      <w:tabs>
        <w:tab w:val="right" w:pos="9026"/>
      </w:tabs>
      <w:spacing w:after="80"/>
    </w:pPr>
    <w:r>
      <w:rPr>
        <w:rFonts w:ascii="Arial" w:cs="Arial" w:eastAsia="Arial" w:hAnsi="Arial"/>
        <w:b/>
        <w:bCs/>
        <w:color w:val="1F4E79"/>
        <w:sz w:val="16"/>
        <w:szCs w:val="16"/>
      </w:rPr>
      <w:t xml:space="preserve">Katon Technical Architecture</w:t>
    </w:r>
    <w:r>
      <w:rPr>
        <w:rFonts w:ascii="Arial" w:cs="Arial" w:eastAsia="Arial" w:hAnsi="Arial"/>
        <w:color w:val="595959"/>
        <w:sz w:val="16"/>
        <w:szCs w:val="16"/>
      </w:rPr>
      <w:t xml:space="preserve">	Base tokenized-stock credit desk</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6"/>
      </w:pBdr>
      <w:tabs>
        <w:tab w:val="right" w:pos="9026"/>
      </w:tabs>
      <w:spacing w:after="80"/>
    </w:pPr>
    <w:r>
      <w:rPr>
        <w:rFonts w:ascii="Arial" w:cs="Arial" w:eastAsia="Arial" w:hAnsi="Arial"/>
        <w:b/>
        <w:bCs/>
        <w:color w:val="1F4E79"/>
        <w:sz w:val="16"/>
        <w:szCs w:val="16"/>
      </w:rPr>
      <w:t xml:space="preserve">Katon Technical Architecture</w:t>
    </w:r>
    <w:r>
      <w:rPr>
        <w:rFonts w:ascii="Arial" w:cs="Arial" w:eastAsia="Arial" w:hAnsi="Arial"/>
        <w:color w:val="595959"/>
        <w:sz w:val="16"/>
        <w:szCs w:val="16"/>
      </w:rPr>
      <w:t xml:space="preserve">	Base tokenized-stock credit desk</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6"/>
      </w:pBdr>
      <w:tabs>
        <w:tab w:val="right" w:pos="9026"/>
      </w:tabs>
      <w:spacing w:after="80"/>
    </w:pPr>
    <w:r>
      <w:rPr>
        <w:rFonts w:ascii="Arial" w:cs="Arial" w:eastAsia="Arial" w:hAnsi="Arial"/>
        <w:b/>
        <w:bCs/>
        <w:color w:val="1F4E79"/>
        <w:sz w:val="16"/>
        <w:szCs w:val="16"/>
      </w:rPr>
      <w:t xml:space="preserve">Katon Technical Architecture</w:t>
    </w:r>
    <w:r>
      <w:rPr>
        <w:rFonts w:ascii="Arial" w:cs="Arial" w:eastAsia="Arial" w:hAnsi="Arial"/>
        <w:color w:val="595959"/>
        <w:sz w:val="16"/>
        <w:szCs w:val="16"/>
      </w:rPr>
      <w:t xml:space="preserve">	Base tokenized-stock credit desk</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6"/>
      </w:pBdr>
      <w:tabs>
        <w:tab w:val="right" w:pos="9026"/>
      </w:tabs>
      <w:spacing w:after="80"/>
    </w:pPr>
    <w:r>
      <w:rPr>
        <w:rFonts w:ascii="Arial" w:cs="Arial" w:eastAsia="Arial" w:hAnsi="Arial"/>
        <w:b/>
        <w:bCs/>
        <w:color w:val="1F4E79"/>
        <w:sz w:val="16"/>
        <w:szCs w:val="16"/>
      </w:rPr>
      <w:t xml:space="preserve">Katon Technical Architecture</w:t>
    </w:r>
    <w:r>
      <w:rPr>
        <w:rFonts w:ascii="Arial" w:cs="Arial" w:eastAsia="Arial" w:hAnsi="Arial"/>
        <w:color w:val="595959"/>
        <w:sz w:val="16"/>
        <w:szCs w:val="16"/>
      </w:rPr>
      <w:t xml:space="preserve">	Base tokenized-stock credit desk</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6"/>
      </w:pBdr>
      <w:tabs>
        <w:tab w:val="right" w:pos="9026"/>
      </w:tabs>
      <w:spacing w:after="80"/>
    </w:pPr>
    <w:r>
      <w:rPr>
        <w:rFonts w:ascii="Arial" w:cs="Arial" w:eastAsia="Arial" w:hAnsi="Arial"/>
        <w:b/>
        <w:bCs/>
        <w:color w:val="1F4E79"/>
        <w:sz w:val="16"/>
        <w:szCs w:val="16"/>
      </w:rPr>
      <w:t xml:space="preserve">Katon Technical Architecture</w:t>
    </w:r>
    <w:r>
      <w:rPr>
        <w:rFonts w:ascii="Arial" w:cs="Arial" w:eastAsia="Arial" w:hAnsi="Arial"/>
        <w:color w:val="595959"/>
        <w:sz w:val="16"/>
        <w:szCs w:val="16"/>
      </w:rPr>
      <w:t xml:space="preserve">	Base tokenized-stock credit desk</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6"/>
      </w:pBdr>
      <w:tabs>
        <w:tab w:val="right" w:pos="9026"/>
      </w:tabs>
      <w:spacing w:after="80"/>
    </w:pPr>
    <w:r>
      <w:rPr>
        <w:rFonts w:ascii="Arial" w:cs="Arial" w:eastAsia="Arial" w:hAnsi="Arial"/>
        <w:b/>
        <w:bCs/>
        <w:color w:val="1F4E79"/>
        <w:sz w:val="16"/>
        <w:szCs w:val="16"/>
      </w:rPr>
      <w:t xml:space="preserve">Katon Technical Architecture</w:t>
    </w:r>
    <w:r>
      <w:rPr>
        <w:rFonts w:ascii="Arial" w:cs="Arial" w:eastAsia="Arial" w:hAnsi="Arial"/>
        <w:color w:val="595959"/>
        <w:sz w:val="16"/>
        <w:szCs w:val="16"/>
      </w:rPr>
      <w:t xml:space="preserve">	Base tokenized-stock credit desk</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6"/>
      </w:pBdr>
      <w:tabs>
        <w:tab w:val="right" w:pos="9026"/>
      </w:tabs>
      <w:spacing w:after="80"/>
    </w:pPr>
    <w:r>
      <w:rPr>
        <w:rFonts w:ascii="Arial" w:cs="Arial" w:eastAsia="Arial" w:hAnsi="Arial"/>
        <w:b/>
        <w:bCs/>
        <w:color w:val="1F4E79"/>
        <w:sz w:val="16"/>
        <w:szCs w:val="16"/>
      </w:rPr>
      <w:t xml:space="preserve">Katon Technical Architecture</w:t>
    </w:r>
    <w:r>
      <w:rPr>
        <w:rFonts w:ascii="Arial" w:cs="Arial" w:eastAsia="Arial" w:hAnsi="Arial"/>
        <w:color w:val="595959"/>
        <w:sz w:val="16"/>
        <w:szCs w:val="16"/>
      </w:rPr>
      <w:t xml:space="preserve">	Base tokenized-stock credit desk</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6"/>
      </w:pBdr>
      <w:tabs>
        <w:tab w:val="right" w:pos="9026"/>
      </w:tabs>
      <w:spacing w:after="80"/>
    </w:pPr>
    <w:r>
      <w:rPr>
        <w:rFonts w:ascii="Arial" w:cs="Arial" w:eastAsia="Arial" w:hAnsi="Arial"/>
        <w:b/>
        <w:bCs/>
        <w:color w:val="1F4E79"/>
        <w:sz w:val="16"/>
        <w:szCs w:val="16"/>
      </w:rPr>
      <w:t xml:space="preserve">Katon Technical Architecture</w:t>
    </w:r>
    <w:r>
      <w:rPr>
        <w:rFonts w:ascii="Arial" w:cs="Arial" w:eastAsia="Arial" w:hAnsi="Arial"/>
        <w:color w:val="595959"/>
        <w:sz w:val="16"/>
        <w:szCs w:val="16"/>
      </w:rPr>
      <w:t xml:space="preserve">	Base tokenized-stock credit desk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image" Target="media/214b92a67a8fda10011fe77c16ccb30484a82297.png"/><Relationship Id="rId34" Type="http://schemas.openxmlformats.org/officeDocument/2006/relationships/image" Target="media/6a5877a17e2829ec25f8f50d29a3e753423b99d9.png"/><Relationship Id="rId35" Type="http://schemas.openxmlformats.org/officeDocument/2006/relationships/image" Target="media/c4a5ed78276dfede03aa8fd5b5bb45e0fb814225.png"/><Relationship Id="rId36" Type="http://schemas.openxmlformats.org/officeDocument/2006/relationships/image" Target="media/0833aa674f1e87380ae8e13a6c7450818b666818.png"/><Relationship Id="rId37" Type="http://schemas.openxmlformats.org/officeDocument/2006/relationships/image" Target="media/12c38d790d8745fbd3948b1f27669e5229b48f92.png"/><Relationship Id="rId38" Type="http://schemas.openxmlformats.org/officeDocument/2006/relationships/image" Target="media/5921cc0d6176e16d5cd82993f0ab34f985484943.png"/><Relationship Id="rId39" Type="http://schemas.openxmlformats.org/officeDocument/2006/relationships/image" Target="media/99758f4672c0ce3e367f10103cf6158c259866a5.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Katon Technical Architecture — Base tokenized-stock credit desk</dc:title>
  <dc:creator>Katon</dc:creator>
  <dc:description>Stakeholder architecture for the Katon credit desk on Base: public liquidation RFQ, USDC facilities, typed venue adapters.</dc:description>
  <cp:lastModifiedBy>Un-named</cp:lastModifiedBy>
  <cp:revision>1</cp:revision>
  <dcterms:created xsi:type="dcterms:W3CDTF">2026-09-08T14:03:30.429Z</dcterms:created>
  <dcterms:modified xsi:type="dcterms:W3CDTF">2026-09-08T14:03:30.429Z</dcterms:modified>
</cp:coreProperties>
</file>

<file path=docProps/custom.xml><?xml version="1.0" encoding="utf-8"?>
<Properties xmlns="http://schemas.openxmlformats.org/officeDocument/2006/custom-properties" xmlns:vt="http://schemas.openxmlformats.org/officeDocument/2006/docPropsVTypes"/>
</file>