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D4440" w14:textId="77777777" w:rsidR="00917881" w:rsidRPr="00917881" w:rsidRDefault="00917881" w:rsidP="00917881">
      <w:pPr>
        <w:pStyle w:val="Heading2"/>
        <w:tabs>
          <w:tab w:val="left" w:pos="3848"/>
          <w:tab w:val="center" w:pos="6604"/>
        </w:tabs>
        <w:spacing w:before="120" w:line="240" w:lineRule="auto"/>
        <w:contextualSpacing/>
        <w:jc w:val="center"/>
        <w:rPr>
          <w:rStyle w:val="Heading2Char"/>
          <w:rFonts w:ascii="Times New Roman" w:hAnsi="Times New Roman" w:cs="Times New Roman"/>
          <w:b/>
          <w:color w:val="auto"/>
          <w:sz w:val="24"/>
          <w:szCs w:val="24"/>
        </w:rPr>
      </w:pPr>
      <w:r w:rsidRPr="00917881">
        <w:rPr>
          <w:rStyle w:val="Heading2Char"/>
          <w:rFonts w:ascii="Times New Roman" w:hAnsi="Times New Roman" w:cs="Times New Roman"/>
          <w:b/>
          <w:color w:val="auto"/>
          <w:sz w:val="24"/>
          <w:szCs w:val="24"/>
        </w:rPr>
        <w:t>Annual Course Monitoring Report Template</w:t>
      </w:r>
    </w:p>
    <w:p w14:paraId="4A600F6F" w14:textId="30DBBC9F" w:rsidR="00917881" w:rsidRPr="001D7747" w:rsidRDefault="00917881" w:rsidP="0038719B">
      <w:pPr>
        <w:pStyle w:val="Heading2"/>
        <w:spacing w:before="120" w:line="240" w:lineRule="auto"/>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Academic year </w:t>
      </w:r>
      <w:r w:rsidR="0038719B">
        <w:rPr>
          <w:rFonts w:ascii="Times New Roman" w:hAnsi="Times New Roman" w:cs="Times New Roman"/>
          <w:b w:val="0"/>
          <w:color w:val="auto"/>
          <w:sz w:val="24"/>
          <w:szCs w:val="24"/>
        </w:rPr>
        <w:t>20</w:t>
      </w:r>
      <w:r w:rsidR="00E31582">
        <w:rPr>
          <w:rFonts w:ascii="Times New Roman" w:hAnsi="Times New Roman" w:cs="Times New Roman"/>
          <w:b w:val="0"/>
          <w:color w:val="auto"/>
          <w:sz w:val="24"/>
          <w:szCs w:val="24"/>
        </w:rPr>
        <w:t>2</w:t>
      </w:r>
      <w:r w:rsidR="000A4CCA">
        <w:rPr>
          <w:rFonts w:ascii="Times New Roman" w:hAnsi="Times New Roman" w:cs="Times New Roman"/>
          <w:b w:val="0"/>
          <w:color w:val="auto"/>
          <w:sz w:val="24"/>
          <w:szCs w:val="24"/>
        </w:rPr>
        <w:t>4</w:t>
      </w:r>
      <w:r w:rsidR="00E31582">
        <w:rPr>
          <w:rFonts w:ascii="Times New Roman" w:hAnsi="Times New Roman" w:cs="Times New Roman"/>
          <w:b w:val="0"/>
          <w:color w:val="auto"/>
          <w:sz w:val="24"/>
          <w:szCs w:val="24"/>
        </w:rPr>
        <w:t>-2</w:t>
      </w:r>
      <w:r w:rsidR="000A4CCA">
        <w:rPr>
          <w:rFonts w:ascii="Times New Roman" w:hAnsi="Times New Roman" w:cs="Times New Roman"/>
          <w:b w:val="0"/>
          <w:color w:val="auto"/>
          <w:sz w:val="24"/>
          <w:szCs w:val="24"/>
        </w:rPr>
        <w:t>5</w:t>
      </w:r>
      <w:r w:rsidR="00DC69DF">
        <w:rPr>
          <w:rFonts w:ascii="Times New Roman" w:hAnsi="Times New Roman" w:cs="Times New Roman"/>
          <w:b w:val="0"/>
          <w:color w:val="auto"/>
          <w:sz w:val="24"/>
          <w:szCs w:val="24"/>
        </w:rPr>
        <w:tab/>
        <w:t>Semester:  Fall 20</w:t>
      </w:r>
      <w:r w:rsidR="00E31582">
        <w:rPr>
          <w:rFonts w:ascii="Times New Roman" w:hAnsi="Times New Roman" w:cs="Times New Roman"/>
          <w:b w:val="0"/>
          <w:color w:val="auto"/>
          <w:sz w:val="24"/>
          <w:szCs w:val="24"/>
        </w:rPr>
        <w:t>2</w:t>
      </w:r>
      <w:r w:rsidR="000A4CCA">
        <w:rPr>
          <w:rFonts w:ascii="Times New Roman" w:hAnsi="Times New Roman" w:cs="Times New Roman"/>
          <w:b w:val="0"/>
          <w:color w:val="auto"/>
          <w:sz w:val="24"/>
          <w:szCs w:val="24"/>
        </w:rPr>
        <w:t>4</w:t>
      </w:r>
    </w:p>
    <w:tbl>
      <w:tblPr>
        <w:tblStyle w:val="GridTable1Light1"/>
        <w:tblpPr w:leftFromText="180" w:rightFromText="180" w:vertAnchor="text" w:tblpY="159"/>
        <w:tblW w:w="13562" w:type="dxa"/>
        <w:tblLook w:val="04A0" w:firstRow="1" w:lastRow="0" w:firstColumn="1" w:lastColumn="0" w:noHBand="0" w:noVBand="1"/>
      </w:tblPr>
      <w:tblGrid>
        <w:gridCol w:w="1736"/>
        <w:gridCol w:w="6049"/>
        <w:gridCol w:w="7"/>
        <w:gridCol w:w="5770"/>
      </w:tblGrid>
      <w:tr w:rsidR="0038719B" w14:paraId="53D66273" w14:textId="77777777" w:rsidTr="00203916">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7785" w:type="dxa"/>
            <w:gridSpan w:val="2"/>
            <w:tcBorders>
              <w:bottom w:val="single" w:sz="4" w:space="0" w:color="999999" w:themeColor="text1" w:themeTint="66"/>
            </w:tcBorders>
            <w:shd w:val="clear" w:color="auto" w:fill="FFFFFF" w:themeFill="background1"/>
            <w:vAlign w:val="center"/>
          </w:tcPr>
          <w:p w14:paraId="623CFA67" w14:textId="19E3B414" w:rsidR="00301E24" w:rsidRPr="00301E24" w:rsidRDefault="00917881" w:rsidP="00DD5DB9">
            <w:pPr>
              <w:contextualSpacing/>
              <w:rPr>
                <w:rFonts w:ascii="Times New Roman" w:hAnsi="Times New Roman" w:cs="Times New Roman"/>
                <w:b w:val="0"/>
                <w:bCs w:val="0"/>
                <w:sz w:val="24"/>
                <w:szCs w:val="24"/>
              </w:rPr>
            </w:pPr>
            <w:r w:rsidRPr="00A5394C">
              <w:rPr>
                <w:rFonts w:ascii="Times New Roman" w:hAnsi="Times New Roman" w:cs="Times New Roman"/>
                <w:sz w:val="24"/>
                <w:szCs w:val="24"/>
              </w:rPr>
              <w:t>School</w:t>
            </w:r>
            <w:r>
              <w:rPr>
                <w:rFonts w:ascii="Times New Roman" w:hAnsi="Times New Roman" w:cs="Times New Roman"/>
                <w:sz w:val="24"/>
                <w:szCs w:val="24"/>
              </w:rPr>
              <w:t>:</w:t>
            </w:r>
            <w:r w:rsidR="00DC69DF">
              <w:rPr>
                <w:rFonts w:ascii="Times New Roman" w:hAnsi="Times New Roman" w:cs="Times New Roman"/>
                <w:sz w:val="24"/>
                <w:szCs w:val="24"/>
              </w:rPr>
              <w:t xml:space="preserve">  </w:t>
            </w:r>
            <w:r w:rsidR="00301E24">
              <w:rPr>
                <w:rFonts w:ascii="Times New Roman" w:hAnsi="Times New Roman" w:cs="Times New Roman"/>
                <w:sz w:val="24"/>
                <w:szCs w:val="24"/>
              </w:rPr>
              <w:t>Engineering and Digital Science</w:t>
            </w:r>
          </w:p>
        </w:tc>
        <w:tc>
          <w:tcPr>
            <w:tcW w:w="5777" w:type="dxa"/>
            <w:gridSpan w:val="2"/>
            <w:tcBorders>
              <w:bottom w:val="single" w:sz="4" w:space="0" w:color="999999" w:themeColor="text1" w:themeTint="66"/>
            </w:tcBorders>
            <w:shd w:val="clear" w:color="auto" w:fill="FFFFFF" w:themeFill="background1"/>
            <w:vAlign w:val="center"/>
          </w:tcPr>
          <w:p w14:paraId="585F1C88" w14:textId="4AA82F99" w:rsidR="00917881" w:rsidRDefault="00917881" w:rsidP="005B5319">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94C">
              <w:rPr>
                <w:rFonts w:ascii="Times New Roman" w:hAnsi="Times New Roman" w:cs="Times New Roman"/>
                <w:sz w:val="24"/>
                <w:szCs w:val="24"/>
              </w:rPr>
              <w:t>Module/Course Leader</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DC69DF">
              <w:rPr>
                <w:rFonts w:ascii="Times New Roman" w:hAnsi="Times New Roman" w:cs="Times New Roman"/>
                <w:sz w:val="24"/>
                <w:szCs w:val="24"/>
              </w:rPr>
              <w:t xml:space="preserve">   </w:t>
            </w:r>
            <w:r w:rsidR="000A4CCA">
              <w:rPr>
                <w:rFonts w:ascii="Times New Roman" w:hAnsi="Times New Roman" w:cs="Times New Roman"/>
                <w:sz w:val="24"/>
                <w:szCs w:val="24"/>
              </w:rPr>
              <w:t>Talgat Manglayev</w:t>
            </w:r>
          </w:p>
        </w:tc>
      </w:tr>
      <w:tr w:rsidR="0038719B" w14:paraId="1D131A85" w14:textId="77777777" w:rsidTr="00203916">
        <w:trPr>
          <w:trHeight w:val="490"/>
        </w:trPr>
        <w:tc>
          <w:tcPr>
            <w:cnfStyle w:val="001000000000" w:firstRow="0" w:lastRow="0" w:firstColumn="1" w:lastColumn="0" w:oddVBand="0" w:evenVBand="0" w:oddHBand="0" w:evenHBand="0" w:firstRowFirstColumn="0" w:firstRowLastColumn="0" w:lastRowFirstColumn="0" w:lastRowLastColumn="0"/>
            <w:tcW w:w="7785" w:type="dxa"/>
            <w:gridSpan w:val="2"/>
            <w:tcBorders>
              <w:bottom w:val="single" w:sz="4" w:space="0" w:color="999999" w:themeColor="text1" w:themeTint="66"/>
            </w:tcBorders>
            <w:shd w:val="clear" w:color="auto" w:fill="FFFFFF" w:themeFill="background1"/>
            <w:vAlign w:val="center"/>
          </w:tcPr>
          <w:p w14:paraId="281F7C63" w14:textId="77777777" w:rsidR="003559BF" w:rsidRDefault="00917881" w:rsidP="003559BF">
            <w:pPr>
              <w:contextualSpacing/>
              <w:rPr>
                <w:rFonts w:ascii="Times New Roman" w:hAnsi="Times New Roman" w:cs="Times New Roman"/>
                <w:b w:val="0"/>
                <w:bCs w:val="0"/>
                <w:sz w:val="24"/>
                <w:szCs w:val="24"/>
              </w:rPr>
            </w:pPr>
            <w:r w:rsidRPr="00A5394C">
              <w:rPr>
                <w:rFonts w:ascii="Times New Roman" w:hAnsi="Times New Roman" w:cs="Times New Roman"/>
                <w:sz w:val="24"/>
                <w:szCs w:val="24"/>
              </w:rPr>
              <w:t>Course Title and Code</w:t>
            </w:r>
            <w:r>
              <w:rPr>
                <w:rFonts w:ascii="Times New Roman" w:hAnsi="Times New Roman" w:cs="Times New Roman"/>
                <w:sz w:val="24"/>
                <w:szCs w:val="24"/>
              </w:rPr>
              <w:t>:</w:t>
            </w:r>
            <w:r w:rsidR="007354EE">
              <w:rPr>
                <w:rFonts w:ascii="Times New Roman" w:hAnsi="Times New Roman" w:cs="Times New Roman"/>
                <w:sz w:val="24"/>
                <w:szCs w:val="24"/>
              </w:rPr>
              <w:t xml:space="preserve"> </w:t>
            </w:r>
          </w:p>
          <w:p w14:paraId="628BB5D5" w14:textId="1AD63E44" w:rsidR="00917881" w:rsidRDefault="007354EE" w:rsidP="003559BF">
            <w:pPr>
              <w:contextualSpacing/>
              <w:rPr>
                <w:rFonts w:ascii="Times New Roman" w:hAnsi="Times New Roman" w:cs="Times New Roman"/>
                <w:sz w:val="24"/>
                <w:szCs w:val="24"/>
              </w:rPr>
            </w:pPr>
            <w:r>
              <w:rPr>
                <w:rFonts w:ascii="Times New Roman" w:hAnsi="Times New Roman" w:cs="Times New Roman"/>
                <w:sz w:val="24"/>
                <w:szCs w:val="24"/>
              </w:rPr>
              <w:t xml:space="preserve">CSCI </w:t>
            </w:r>
            <w:r w:rsidR="000A4CCA">
              <w:rPr>
                <w:rFonts w:ascii="Times New Roman" w:hAnsi="Times New Roman" w:cs="Times New Roman"/>
                <w:sz w:val="24"/>
                <w:szCs w:val="24"/>
              </w:rPr>
              <w:t>111 Web Programming and Problem Solving</w:t>
            </w:r>
          </w:p>
        </w:tc>
        <w:tc>
          <w:tcPr>
            <w:tcW w:w="5777" w:type="dxa"/>
            <w:gridSpan w:val="2"/>
            <w:tcBorders>
              <w:bottom w:val="single" w:sz="4" w:space="0" w:color="999999" w:themeColor="text1" w:themeTint="66"/>
            </w:tcBorders>
            <w:shd w:val="clear" w:color="auto" w:fill="FFFFFF" w:themeFill="background1"/>
            <w:vAlign w:val="center"/>
          </w:tcPr>
          <w:p w14:paraId="33DF6ADB" w14:textId="1A019040" w:rsidR="00DC69DF" w:rsidRPr="00180614" w:rsidRDefault="00917881" w:rsidP="000A4CCA">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80614">
              <w:rPr>
                <w:rFonts w:ascii="Times New Roman" w:hAnsi="Times New Roman" w:cs="Times New Roman"/>
                <w:b/>
                <w:sz w:val="24"/>
                <w:szCs w:val="24"/>
              </w:rPr>
              <w:t>Number of students enrolled:</w:t>
            </w:r>
            <w:r w:rsidR="003559BF">
              <w:rPr>
                <w:rFonts w:ascii="Times New Roman" w:hAnsi="Times New Roman" w:cs="Times New Roman"/>
                <w:b/>
                <w:sz w:val="24"/>
                <w:szCs w:val="24"/>
              </w:rPr>
              <w:t xml:space="preserve"> </w:t>
            </w:r>
            <w:r w:rsidR="000A4CCA">
              <w:rPr>
                <w:rFonts w:ascii="Times New Roman" w:hAnsi="Times New Roman" w:cs="Times New Roman"/>
                <w:b/>
                <w:sz w:val="24"/>
                <w:szCs w:val="24"/>
              </w:rPr>
              <w:t>3</w:t>
            </w:r>
            <w:r w:rsidR="00E31582">
              <w:rPr>
                <w:rFonts w:ascii="Times New Roman" w:hAnsi="Times New Roman" w:cs="Times New Roman"/>
                <w:b/>
                <w:sz w:val="24"/>
                <w:szCs w:val="24"/>
              </w:rPr>
              <w:t>1</w:t>
            </w:r>
          </w:p>
        </w:tc>
      </w:tr>
      <w:tr w:rsidR="00917881" w14:paraId="56F7DB7F" w14:textId="77777777" w:rsidTr="00203916">
        <w:trPr>
          <w:trHeight w:val="803"/>
        </w:trPr>
        <w:tc>
          <w:tcPr>
            <w:cnfStyle w:val="001000000000" w:firstRow="0" w:lastRow="0" w:firstColumn="1" w:lastColumn="0" w:oddVBand="0" w:evenVBand="0" w:oddHBand="0" w:evenHBand="0" w:firstRowFirstColumn="0" w:firstRowLastColumn="0" w:lastRowFirstColumn="0" w:lastRowLastColumn="0"/>
            <w:tcW w:w="13562" w:type="dxa"/>
            <w:gridSpan w:val="4"/>
            <w:tcBorders>
              <w:bottom w:val="single" w:sz="4" w:space="0" w:color="999999" w:themeColor="text1" w:themeTint="66"/>
            </w:tcBorders>
            <w:shd w:val="clear" w:color="auto" w:fill="auto"/>
            <w:vAlign w:val="center"/>
          </w:tcPr>
          <w:p w14:paraId="22314384" w14:textId="04DE664F" w:rsidR="00917881" w:rsidRPr="00180614" w:rsidRDefault="00917881" w:rsidP="00FA01AD">
            <w:pPr>
              <w:contextualSpacing/>
              <w:jc w:val="both"/>
              <w:rPr>
                <w:rFonts w:ascii="Times New Roman" w:hAnsi="Times New Roman" w:cs="Times New Roman"/>
                <w:b w:val="0"/>
                <w:sz w:val="24"/>
                <w:szCs w:val="24"/>
              </w:rPr>
            </w:pPr>
            <w:r w:rsidRPr="001D7747">
              <w:rPr>
                <w:rFonts w:ascii="Times New Roman" w:hAnsi="Times New Roman" w:cs="Times New Roman"/>
                <w:b w:val="0"/>
                <w:bCs w:val="0"/>
                <w:sz w:val="24"/>
                <w:szCs w:val="24"/>
              </w:rPr>
              <w:t>Whil</w:t>
            </w:r>
            <w:r w:rsidRPr="001D7747">
              <w:rPr>
                <w:rFonts w:ascii="Times New Roman" w:hAnsi="Times New Roman" w:cs="Times New Roman"/>
                <w:b w:val="0"/>
                <w:sz w:val="24"/>
                <w:szCs w:val="24"/>
              </w:rPr>
              <w:t>st</w:t>
            </w:r>
            <w:r w:rsidRPr="001D7747">
              <w:rPr>
                <w:rFonts w:ascii="Times New Roman" w:hAnsi="Times New Roman" w:cs="Times New Roman"/>
                <w:b w:val="0"/>
                <w:bCs w:val="0"/>
                <w:sz w:val="24"/>
                <w:szCs w:val="24"/>
              </w:rPr>
              <w:t xml:space="preserve"> it is expected that the report be concise, it should detail the top three areas for improvement in each of the key points in the template.</w:t>
            </w:r>
            <w:r w:rsidR="00FA01AD">
              <w:rPr>
                <w:rFonts w:ascii="Times New Roman" w:hAnsi="Times New Roman" w:cs="Times New Roman"/>
                <w:b w:val="0"/>
                <w:bCs w:val="0"/>
                <w:sz w:val="24"/>
                <w:szCs w:val="24"/>
              </w:rPr>
              <w:t xml:space="preserve"> </w:t>
            </w:r>
            <w:r w:rsidRPr="001D7747">
              <w:rPr>
                <w:rFonts w:ascii="Times New Roman" w:hAnsi="Times New Roman" w:cs="Times New Roman"/>
                <w:b w:val="0"/>
                <w:bCs w:val="0"/>
                <w:sz w:val="24"/>
                <w:szCs w:val="24"/>
              </w:rPr>
              <w:t>A risk-based approach and ‘exception reporting’ are encouraged to focus efforts on those programs and courses requiring improvement.</w:t>
            </w:r>
          </w:p>
        </w:tc>
      </w:tr>
      <w:tr w:rsidR="0038719B" w14:paraId="3E8233F6" w14:textId="77777777" w:rsidTr="00203916">
        <w:trPr>
          <w:trHeight w:val="614"/>
        </w:trPr>
        <w:tc>
          <w:tcPr>
            <w:cnfStyle w:val="001000000000" w:firstRow="0" w:lastRow="0" w:firstColumn="1" w:lastColumn="0" w:oddVBand="0" w:evenVBand="0" w:oddHBand="0" w:evenHBand="0" w:firstRowFirstColumn="0" w:firstRowLastColumn="0" w:lastRowFirstColumn="0" w:lastRowLastColumn="0"/>
            <w:tcW w:w="1736" w:type="dxa"/>
            <w:tcBorders>
              <w:bottom w:val="single" w:sz="4" w:space="0" w:color="999999" w:themeColor="text1" w:themeTint="66"/>
            </w:tcBorders>
            <w:shd w:val="clear" w:color="auto" w:fill="D9E2F3" w:themeFill="accent1" w:themeFillTint="33"/>
            <w:vAlign w:val="center"/>
          </w:tcPr>
          <w:p w14:paraId="7DAC737B" w14:textId="77777777" w:rsidR="00917881" w:rsidRPr="0094796E" w:rsidRDefault="00917881" w:rsidP="00DD5DB9">
            <w:pPr>
              <w:contextualSpacing/>
              <w:jc w:val="center"/>
              <w:rPr>
                <w:rFonts w:ascii="Times New Roman" w:hAnsi="Times New Roman" w:cs="Times New Roman"/>
                <w:sz w:val="24"/>
                <w:szCs w:val="24"/>
              </w:rPr>
            </w:pPr>
            <w:r>
              <w:rPr>
                <w:rFonts w:ascii="Times New Roman" w:hAnsi="Times New Roman" w:cs="Times New Roman"/>
                <w:sz w:val="24"/>
                <w:szCs w:val="24"/>
              </w:rPr>
              <w:t>Key points for review</w:t>
            </w:r>
          </w:p>
        </w:tc>
        <w:tc>
          <w:tcPr>
            <w:tcW w:w="6056" w:type="dxa"/>
            <w:gridSpan w:val="2"/>
            <w:tcBorders>
              <w:bottom w:val="single" w:sz="4" w:space="0" w:color="999999" w:themeColor="text1" w:themeTint="66"/>
            </w:tcBorders>
            <w:shd w:val="clear" w:color="auto" w:fill="D9E2F3" w:themeFill="accent1" w:themeFillTint="33"/>
            <w:vAlign w:val="center"/>
          </w:tcPr>
          <w:p w14:paraId="5BD74432" w14:textId="77777777" w:rsidR="00917881" w:rsidRPr="00180614" w:rsidRDefault="00917881" w:rsidP="00DD5DB9">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80614">
              <w:rPr>
                <w:rFonts w:ascii="Times New Roman" w:hAnsi="Times New Roman" w:cs="Times New Roman"/>
                <w:b/>
                <w:sz w:val="24"/>
                <w:szCs w:val="24"/>
              </w:rPr>
              <w:t>Comments/Reflections</w:t>
            </w:r>
          </w:p>
        </w:tc>
        <w:tc>
          <w:tcPr>
            <w:tcW w:w="5770" w:type="dxa"/>
            <w:tcBorders>
              <w:bottom w:val="single" w:sz="4" w:space="0" w:color="999999" w:themeColor="text1" w:themeTint="66"/>
            </w:tcBorders>
            <w:shd w:val="clear" w:color="auto" w:fill="D9E2F3" w:themeFill="accent1" w:themeFillTint="33"/>
            <w:vAlign w:val="center"/>
          </w:tcPr>
          <w:p w14:paraId="6C601E95" w14:textId="77777777" w:rsidR="00917881" w:rsidRPr="00180614" w:rsidRDefault="00917881" w:rsidP="00DD5DB9">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80614">
              <w:rPr>
                <w:rFonts w:ascii="Times New Roman" w:hAnsi="Times New Roman" w:cs="Times New Roman"/>
                <w:b/>
                <w:sz w:val="24"/>
                <w:szCs w:val="24"/>
              </w:rPr>
              <w:t>Identified/Im</w:t>
            </w:r>
            <w:r>
              <w:rPr>
                <w:rFonts w:ascii="Times New Roman" w:hAnsi="Times New Roman" w:cs="Times New Roman"/>
                <w:b/>
                <w:sz w:val="24"/>
                <w:szCs w:val="24"/>
              </w:rPr>
              <w:t xml:space="preserve">plemented </w:t>
            </w:r>
            <w:r w:rsidRPr="00180614">
              <w:rPr>
                <w:rFonts w:ascii="Times New Roman" w:hAnsi="Times New Roman" w:cs="Times New Roman"/>
                <w:b/>
                <w:sz w:val="24"/>
                <w:szCs w:val="24"/>
              </w:rPr>
              <w:t>Actions</w:t>
            </w:r>
          </w:p>
        </w:tc>
      </w:tr>
      <w:tr w:rsidR="000647F6" w14:paraId="5301833B" w14:textId="77777777" w:rsidTr="00203916">
        <w:trPr>
          <w:trHeight w:val="344"/>
        </w:trPr>
        <w:tc>
          <w:tcPr>
            <w:cnfStyle w:val="001000000000" w:firstRow="0" w:lastRow="0" w:firstColumn="1" w:lastColumn="0" w:oddVBand="0" w:evenVBand="0" w:oddHBand="0" w:evenHBand="0" w:firstRowFirstColumn="0" w:firstRowLastColumn="0" w:lastRowFirstColumn="0" w:lastRowLastColumn="0"/>
            <w:tcW w:w="1736" w:type="dxa"/>
            <w:tcBorders>
              <w:top w:val="single" w:sz="4" w:space="0" w:color="999999" w:themeColor="text1" w:themeTint="66"/>
            </w:tcBorders>
            <w:vAlign w:val="center"/>
          </w:tcPr>
          <w:p w14:paraId="24104BB2" w14:textId="77777777" w:rsidR="00917881" w:rsidRPr="00A574A9" w:rsidRDefault="00917881" w:rsidP="00DD5DB9">
            <w:pPr>
              <w:contextualSpacing/>
              <w:rPr>
                <w:rFonts w:ascii="Times New Roman" w:hAnsi="Times New Roman" w:cs="Times New Roman"/>
                <w:sz w:val="24"/>
                <w:szCs w:val="24"/>
              </w:rPr>
            </w:pPr>
            <w:r w:rsidRPr="00917881">
              <w:rPr>
                <w:rStyle w:val="Heading3Char"/>
                <w:rFonts w:ascii="Times New Roman" w:hAnsi="Times New Roman" w:cs="Times New Roman"/>
                <w:color w:val="auto"/>
                <w:sz w:val="24"/>
                <w:szCs w:val="24"/>
              </w:rPr>
              <w:t xml:space="preserve">1.  </w:t>
            </w:r>
            <w:r w:rsidRPr="00917881">
              <w:rPr>
                <w:rFonts w:ascii="Times New Roman" w:hAnsi="Times New Roman" w:cs="Times New Roman"/>
                <w:b w:val="0"/>
                <w:sz w:val="24"/>
                <w:szCs w:val="24"/>
              </w:rPr>
              <w:t xml:space="preserve"> </w:t>
            </w:r>
            <w:r w:rsidRPr="00A574A9">
              <w:rPr>
                <w:rFonts w:ascii="Times New Roman" w:hAnsi="Times New Roman" w:cs="Times New Roman"/>
                <w:b w:val="0"/>
                <w:sz w:val="24"/>
                <w:szCs w:val="24"/>
              </w:rPr>
              <w:t>Analysis of the module/course assessment statistics</w:t>
            </w:r>
            <w:r>
              <w:rPr>
                <w:rStyle w:val="FootnoteReference"/>
                <w:rFonts w:ascii="Times New Roman" w:hAnsi="Times New Roman" w:cs="Times New Roman"/>
                <w:b w:val="0"/>
                <w:sz w:val="24"/>
                <w:szCs w:val="24"/>
              </w:rPr>
              <w:footnoteReference w:id="2"/>
            </w:r>
          </w:p>
        </w:tc>
        <w:tc>
          <w:tcPr>
            <w:tcW w:w="6056" w:type="dxa"/>
            <w:gridSpan w:val="2"/>
            <w:tcBorders>
              <w:top w:val="single" w:sz="4" w:space="0" w:color="999999" w:themeColor="text1" w:themeTint="66"/>
            </w:tcBorders>
          </w:tcPr>
          <w:p w14:paraId="7678C4AE" w14:textId="36381154" w:rsidR="00337805" w:rsidRDefault="00BD2F05" w:rsidP="00BB64A2">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students in SSH select either CSCI 111 (this) or CSCI 115.</w:t>
            </w:r>
            <w:r w:rsidR="00337805">
              <w:rPr>
                <w:rFonts w:ascii="Times New Roman" w:hAnsi="Times New Roman" w:cs="Times New Roman"/>
                <w:sz w:val="24"/>
                <w:szCs w:val="24"/>
              </w:rPr>
              <w:t xml:space="preserve"> There are students from Economics, Political Science and International Relations, World Languages, Literature and Culture, Sociology and Anthropology departments. The majorit</w:t>
            </w:r>
            <w:r w:rsidR="000E2AC0">
              <w:rPr>
                <w:rFonts w:ascii="Times New Roman" w:hAnsi="Times New Roman" w:cs="Times New Roman"/>
                <w:sz w:val="24"/>
                <w:szCs w:val="24"/>
              </w:rPr>
              <w:t xml:space="preserve">y is </w:t>
            </w:r>
            <w:r w:rsidR="00337805">
              <w:rPr>
                <w:rFonts w:ascii="Times New Roman" w:hAnsi="Times New Roman" w:cs="Times New Roman"/>
                <w:sz w:val="24"/>
                <w:szCs w:val="24"/>
              </w:rPr>
              <w:t>4</w:t>
            </w:r>
            <w:r w:rsidR="00337805" w:rsidRPr="00337805">
              <w:rPr>
                <w:rFonts w:ascii="Times New Roman" w:hAnsi="Times New Roman" w:cs="Times New Roman"/>
                <w:sz w:val="24"/>
                <w:szCs w:val="24"/>
                <w:vertAlign w:val="superscript"/>
              </w:rPr>
              <w:t>th</w:t>
            </w:r>
            <w:r w:rsidR="00337805">
              <w:rPr>
                <w:rFonts w:ascii="Times New Roman" w:hAnsi="Times New Roman" w:cs="Times New Roman"/>
                <w:sz w:val="24"/>
                <w:szCs w:val="24"/>
              </w:rPr>
              <w:t xml:space="preserve"> year students, there were two 3</w:t>
            </w:r>
            <w:r w:rsidR="00337805" w:rsidRPr="00337805">
              <w:rPr>
                <w:rFonts w:ascii="Times New Roman" w:hAnsi="Times New Roman" w:cs="Times New Roman"/>
                <w:sz w:val="24"/>
                <w:szCs w:val="24"/>
                <w:vertAlign w:val="superscript"/>
              </w:rPr>
              <w:t>rd</w:t>
            </w:r>
            <w:r w:rsidR="00337805">
              <w:rPr>
                <w:rFonts w:ascii="Times New Roman" w:hAnsi="Times New Roman" w:cs="Times New Roman"/>
                <w:sz w:val="24"/>
                <w:szCs w:val="24"/>
              </w:rPr>
              <w:t xml:space="preserve"> year students and one 2</w:t>
            </w:r>
            <w:r w:rsidR="00337805" w:rsidRPr="00337805">
              <w:rPr>
                <w:rFonts w:ascii="Times New Roman" w:hAnsi="Times New Roman" w:cs="Times New Roman"/>
                <w:sz w:val="24"/>
                <w:szCs w:val="24"/>
                <w:vertAlign w:val="superscript"/>
              </w:rPr>
              <w:t>nd</w:t>
            </w:r>
            <w:r w:rsidR="00337805">
              <w:rPr>
                <w:rFonts w:ascii="Times New Roman" w:hAnsi="Times New Roman" w:cs="Times New Roman"/>
                <w:sz w:val="24"/>
                <w:szCs w:val="24"/>
              </w:rPr>
              <w:t xml:space="preserve"> year student.</w:t>
            </w:r>
          </w:p>
          <w:p w14:paraId="4E6F3F22" w14:textId="1FFD818F" w:rsidR="000753F6" w:rsidRDefault="00337805" w:rsidP="00BB64A2">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were some students who had programming fundamentals background from high school. Relatively they </w:t>
            </w:r>
            <w:r w:rsidR="0052000B">
              <w:rPr>
                <w:rFonts w:ascii="Times New Roman" w:hAnsi="Times New Roman" w:cs="Times New Roman"/>
                <w:sz w:val="24"/>
                <w:szCs w:val="24"/>
              </w:rPr>
              <w:t xml:space="preserve">did </w:t>
            </w:r>
            <w:r w:rsidR="005509B8">
              <w:rPr>
                <w:rFonts w:ascii="Times New Roman" w:hAnsi="Times New Roman" w:cs="Times New Roman"/>
                <w:sz w:val="24"/>
                <w:szCs w:val="24"/>
              </w:rPr>
              <w:t xml:space="preserve">somewhat </w:t>
            </w:r>
            <w:r w:rsidR="0052000B">
              <w:rPr>
                <w:rFonts w:ascii="Times New Roman" w:hAnsi="Times New Roman" w:cs="Times New Roman"/>
                <w:sz w:val="24"/>
                <w:szCs w:val="24"/>
              </w:rPr>
              <w:t>better</w:t>
            </w:r>
            <w:r>
              <w:rPr>
                <w:rFonts w:ascii="Times New Roman" w:hAnsi="Times New Roman" w:cs="Times New Roman"/>
                <w:sz w:val="24"/>
                <w:szCs w:val="24"/>
              </w:rPr>
              <w:t xml:space="preserve"> than those who didn’t have any experience.</w:t>
            </w:r>
          </w:p>
        </w:tc>
        <w:tc>
          <w:tcPr>
            <w:tcW w:w="5770" w:type="dxa"/>
            <w:tcBorders>
              <w:top w:val="single" w:sz="4" w:space="0" w:color="999999" w:themeColor="text1" w:themeTint="66"/>
            </w:tcBorders>
          </w:tcPr>
          <w:p w14:paraId="1CD5D964" w14:textId="5E4ADB57" w:rsidR="00917881" w:rsidRDefault="000E2AC0" w:rsidP="000E2AC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course is divided into three parts: HTML and CSS, Introduction to Programming using JavaScript and Machine Learning.  It should be noted that Machine Learning part had two introductory lectures on the introduction to AI topic and one lecture for Machine Learning Regression. Students found it difficult to understand the implementation of regression using JavaScript.</w:t>
            </w:r>
          </w:p>
        </w:tc>
      </w:tr>
      <w:tr w:rsidR="000647F6" w14:paraId="468EF221" w14:textId="77777777" w:rsidTr="00203916">
        <w:trPr>
          <w:trHeight w:val="485"/>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7C144738" w14:textId="77777777" w:rsidR="007A4FF3" w:rsidRPr="00A574A9" w:rsidRDefault="007A4FF3" w:rsidP="007A4FF3">
            <w:pPr>
              <w:contextualSpacing/>
              <w:rPr>
                <w:rFonts w:ascii="Times New Roman" w:hAnsi="Times New Roman" w:cs="Times New Roman"/>
                <w:b w:val="0"/>
                <w:sz w:val="24"/>
                <w:szCs w:val="24"/>
                <w:vertAlign w:val="superscript"/>
              </w:rPr>
            </w:pPr>
            <w:r w:rsidRPr="00A574A9">
              <w:rPr>
                <w:rFonts w:ascii="Times New Roman" w:hAnsi="Times New Roman" w:cs="Times New Roman"/>
                <w:b w:val="0"/>
                <w:sz w:val="24"/>
                <w:szCs w:val="24"/>
              </w:rPr>
              <w:t>2</w:t>
            </w:r>
            <w:r w:rsidRPr="00A574A9">
              <w:rPr>
                <w:rStyle w:val="Heading3Char"/>
                <w:rFonts w:ascii="Times New Roman" w:hAnsi="Times New Roman" w:cs="Times New Roman"/>
              </w:rPr>
              <w:t xml:space="preserve">. </w:t>
            </w:r>
            <w:r w:rsidRPr="00A574A9">
              <w:rPr>
                <w:rStyle w:val="Heading3Char"/>
                <w:rFonts w:ascii="Times New Roman" w:hAnsi="Times New Roman" w:cs="Times New Roman"/>
                <w:sz w:val="24"/>
                <w:szCs w:val="24"/>
              </w:rPr>
              <w:t xml:space="preserve"> </w:t>
            </w:r>
            <w:r w:rsidRPr="00917881">
              <w:rPr>
                <w:rStyle w:val="Heading3Char"/>
                <w:rFonts w:ascii="Times New Roman" w:hAnsi="Times New Roman" w:cs="Times New Roman"/>
                <w:color w:val="auto"/>
                <w:sz w:val="24"/>
                <w:szCs w:val="24"/>
              </w:rPr>
              <w:t xml:space="preserve">Response to issues raised in the previous year’s report </w:t>
            </w:r>
          </w:p>
        </w:tc>
        <w:tc>
          <w:tcPr>
            <w:tcW w:w="6056" w:type="dxa"/>
            <w:gridSpan w:val="2"/>
          </w:tcPr>
          <w:p w14:paraId="30FD38EA" w14:textId="1E336F0D" w:rsidR="007A4FF3" w:rsidRDefault="005509B8" w:rsidP="007A4FF3">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previous </w:t>
            </w:r>
            <w:r w:rsidR="00BB64A2">
              <w:rPr>
                <w:rFonts w:ascii="Times New Roman" w:hAnsi="Times New Roman" w:cs="Times New Roman"/>
                <w:sz w:val="24"/>
                <w:szCs w:val="24"/>
              </w:rPr>
              <w:t>semester</w:t>
            </w:r>
            <w:r>
              <w:rPr>
                <w:rFonts w:ascii="Times New Roman" w:hAnsi="Times New Roman" w:cs="Times New Roman"/>
                <w:sz w:val="24"/>
                <w:szCs w:val="24"/>
              </w:rPr>
              <w:t xml:space="preserve">, </w:t>
            </w:r>
            <w:r w:rsidR="00BB64A2">
              <w:rPr>
                <w:rFonts w:ascii="Times New Roman" w:hAnsi="Times New Roman" w:cs="Times New Roman"/>
                <w:sz w:val="24"/>
                <w:szCs w:val="24"/>
              </w:rPr>
              <w:t xml:space="preserve">the course was scheduled at 9:00 A.M. and </w:t>
            </w:r>
            <w:r>
              <w:rPr>
                <w:rFonts w:ascii="Times New Roman" w:hAnsi="Times New Roman" w:cs="Times New Roman"/>
                <w:sz w:val="24"/>
                <w:szCs w:val="24"/>
              </w:rPr>
              <w:t>students struggled with the difficulty of the</w:t>
            </w:r>
            <w:r w:rsidR="00BB64A2">
              <w:rPr>
                <w:rFonts w:ascii="Times New Roman" w:hAnsi="Times New Roman" w:cs="Times New Roman"/>
                <w:sz w:val="24"/>
                <w:szCs w:val="24"/>
              </w:rPr>
              <w:t xml:space="preserve"> concentration.</w:t>
            </w:r>
          </w:p>
        </w:tc>
        <w:tc>
          <w:tcPr>
            <w:tcW w:w="5770" w:type="dxa"/>
          </w:tcPr>
          <w:p w14:paraId="7D7D2F5D" w14:textId="5C644FA5" w:rsidR="007A4FF3" w:rsidRDefault="00BB64A2" w:rsidP="00BB64A2">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time the course had 6 homework tasks instead of 7, so one homework was dropped. Examples from SSH major were included for explaining HTML and JavaScript.</w:t>
            </w:r>
          </w:p>
        </w:tc>
      </w:tr>
      <w:tr w:rsidR="000647F6" w14:paraId="0EAAA060" w14:textId="77777777" w:rsidTr="00203916">
        <w:trPr>
          <w:trHeight w:val="491"/>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74EBB2D4" w14:textId="77777777" w:rsidR="00917881" w:rsidRPr="0032685F" w:rsidRDefault="00917881" w:rsidP="00DD5DB9">
            <w:pPr>
              <w:contextualSpacing/>
              <w:rPr>
                <w:rFonts w:ascii="Times New Roman" w:hAnsi="Times New Roman" w:cs="Times New Roman"/>
                <w:b w:val="0"/>
                <w:sz w:val="24"/>
                <w:szCs w:val="24"/>
              </w:rPr>
            </w:pPr>
            <w:r>
              <w:rPr>
                <w:rFonts w:ascii="Times New Roman" w:hAnsi="Times New Roman" w:cs="Times New Roman"/>
                <w:b w:val="0"/>
                <w:sz w:val="24"/>
                <w:szCs w:val="24"/>
              </w:rPr>
              <w:t xml:space="preserve">3. </w:t>
            </w:r>
            <w:r w:rsidRPr="008331F6">
              <w:rPr>
                <w:rFonts w:ascii="Times New Roman" w:hAnsi="Times New Roman" w:cs="Times New Roman"/>
                <w:b w:val="0"/>
                <w:sz w:val="24"/>
                <w:szCs w:val="24"/>
              </w:rPr>
              <w:t xml:space="preserve"> </w:t>
            </w:r>
            <w:r w:rsidRPr="0032685F">
              <w:rPr>
                <w:rFonts w:ascii="Times New Roman" w:hAnsi="Times New Roman" w:cs="Times New Roman"/>
                <w:b w:val="0"/>
                <w:sz w:val="24"/>
                <w:szCs w:val="24"/>
              </w:rPr>
              <w:t xml:space="preserve">Students’ achievement of the course learning </w:t>
            </w:r>
            <w:r w:rsidRPr="0032685F">
              <w:rPr>
                <w:rFonts w:ascii="Times New Roman" w:hAnsi="Times New Roman" w:cs="Times New Roman"/>
                <w:b w:val="0"/>
                <w:sz w:val="24"/>
                <w:szCs w:val="24"/>
              </w:rPr>
              <w:lastRenderedPageBreak/>
              <w:t>outcomes (CLOs)</w:t>
            </w:r>
            <w:r>
              <w:rPr>
                <w:rStyle w:val="FootnoteReference"/>
                <w:rFonts w:ascii="Times New Roman" w:hAnsi="Times New Roman" w:cs="Times New Roman"/>
                <w:b w:val="0"/>
                <w:sz w:val="24"/>
                <w:szCs w:val="24"/>
              </w:rPr>
              <w:footnoteReference w:id="3"/>
            </w:r>
          </w:p>
        </w:tc>
        <w:tc>
          <w:tcPr>
            <w:tcW w:w="6056" w:type="dxa"/>
            <w:gridSpan w:val="2"/>
          </w:tcPr>
          <w:p w14:paraId="38133E7C" w14:textId="7F8F5411" w:rsidR="00BC3316" w:rsidRDefault="00203916" w:rsidP="00203916">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Students seemed to do better with</w:t>
            </w:r>
            <w:r>
              <w:rPr>
                <w:rFonts w:ascii="Times New Roman" w:hAnsi="Times New Roman" w:cs="Times New Roman"/>
                <w:sz w:val="24"/>
                <w:szCs w:val="24"/>
              </w:rPr>
              <w:t xml:space="preserve"> developing websites (CLO 1 and 2), which </w:t>
            </w:r>
            <w:r>
              <w:rPr>
                <w:rFonts w:ascii="Times New Roman" w:hAnsi="Times New Roman" w:cs="Times New Roman"/>
                <w:sz w:val="24"/>
                <w:szCs w:val="24"/>
              </w:rPr>
              <w:t>might be explained</w:t>
            </w:r>
            <w:r>
              <w:rPr>
                <w:rFonts w:ascii="Times New Roman" w:hAnsi="Times New Roman" w:cs="Times New Roman"/>
                <w:sz w:val="24"/>
                <w:szCs w:val="24"/>
              </w:rPr>
              <w:t xml:space="preserve"> by </w:t>
            </w:r>
            <w:r w:rsidR="006F66F6">
              <w:rPr>
                <w:rFonts w:ascii="Times New Roman" w:hAnsi="Times New Roman" w:cs="Times New Roman"/>
                <w:sz w:val="24"/>
                <w:szCs w:val="24"/>
              </w:rPr>
              <w:t xml:space="preserve">the syllabus. The topics were covered in all assessments. As for (CLO 3) it was not covered in </w:t>
            </w:r>
            <w:proofErr w:type="spellStart"/>
            <w:r w:rsidR="006F66F6">
              <w:rPr>
                <w:rFonts w:ascii="Times New Roman" w:hAnsi="Times New Roman" w:cs="Times New Roman"/>
                <w:sz w:val="24"/>
                <w:szCs w:val="24"/>
              </w:rPr>
              <w:t>Quizes</w:t>
            </w:r>
            <w:proofErr w:type="spellEnd"/>
            <w:r w:rsidR="006F66F6">
              <w:rPr>
                <w:rFonts w:ascii="Times New Roman" w:hAnsi="Times New Roman" w:cs="Times New Roman"/>
                <w:sz w:val="24"/>
                <w:szCs w:val="24"/>
              </w:rPr>
              <w:t xml:space="preserve"> as it requires tools to build graphs and charts.</w:t>
            </w:r>
          </w:p>
          <w:p w14:paraId="12E30A9E" w14:textId="77777777" w:rsidR="00203916" w:rsidRDefault="00203916" w:rsidP="00203916">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A8F8C7" w14:textId="77777777" w:rsidR="00203916" w:rsidRDefault="00203916" w:rsidP="00203916">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E8BE4B" w14:textId="4136717D" w:rsidR="00203916" w:rsidRDefault="00203916" w:rsidP="00203916">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noProof/>
              </w:rPr>
              <w:drawing>
                <wp:inline distT="0" distB="0" distL="0" distR="0" wp14:anchorId="60ACABD7" wp14:editId="5B49325E">
                  <wp:extent cx="3275938" cy="2154804"/>
                  <wp:effectExtent l="0" t="0" r="13970" b="17145"/>
                  <wp:docPr id="557543317"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0FD43F" w14:textId="77777777" w:rsidR="00203916" w:rsidRDefault="00203916" w:rsidP="00203916">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385CDD" w14:textId="7636FAA5" w:rsidR="00917881" w:rsidRDefault="00213FC4" w:rsidP="006F66F6">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They also did </w:t>
            </w:r>
            <w:r w:rsidR="006F66F6">
              <w:rPr>
                <w:rFonts w:ascii="Times New Roman" w:hAnsi="Times New Roman" w:cs="Times New Roman"/>
                <w:sz w:val="24"/>
                <w:szCs w:val="24"/>
              </w:rPr>
              <w:t>well</w:t>
            </w:r>
            <w:r>
              <w:rPr>
                <w:rFonts w:ascii="Times New Roman" w:hAnsi="Times New Roman" w:cs="Times New Roman"/>
                <w:sz w:val="24"/>
                <w:szCs w:val="24"/>
              </w:rPr>
              <w:t xml:space="preserve"> on the </w:t>
            </w:r>
            <w:r w:rsidR="006F66F6">
              <w:rPr>
                <w:rFonts w:ascii="Times New Roman" w:hAnsi="Times New Roman" w:cs="Times New Roman"/>
                <w:sz w:val="24"/>
                <w:szCs w:val="24"/>
              </w:rPr>
              <w:t xml:space="preserve">AI </w:t>
            </w:r>
            <w:r>
              <w:rPr>
                <w:rFonts w:ascii="Times New Roman" w:hAnsi="Times New Roman" w:cs="Times New Roman"/>
                <w:sz w:val="24"/>
                <w:szCs w:val="24"/>
              </w:rPr>
              <w:t xml:space="preserve">part about </w:t>
            </w:r>
            <w:r w:rsidR="006F66F6">
              <w:rPr>
                <w:rFonts w:ascii="Times New Roman" w:hAnsi="Times New Roman" w:cs="Times New Roman"/>
                <w:sz w:val="24"/>
                <w:szCs w:val="24"/>
              </w:rPr>
              <w:t>Machine Learning Regression</w:t>
            </w:r>
            <w:r>
              <w:rPr>
                <w:rFonts w:ascii="Times New Roman" w:hAnsi="Times New Roman" w:cs="Times New Roman"/>
                <w:sz w:val="24"/>
                <w:szCs w:val="24"/>
              </w:rPr>
              <w:t xml:space="preserve"> (CLO </w:t>
            </w:r>
            <w:r w:rsidR="006F66F6">
              <w:rPr>
                <w:rFonts w:ascii="Times New Roman" w:hAnsi="Times New Roman" w:cs="Times New Roman"/>
                <w:sz w:val="24"/>
                <w:szCs w:val="24"/>
              </w:rPr>
              <w:t>4</w:t>
            </w:r>
            <w:r>
              <w:rPr>
                <w:rFonts w:ascii="Times New Roman" w:hAnsi="Times New Roman" w:cs="Times New Roman"/>
                <w:sz w:val="24"/>
                <w:szCs w:val="24"/>
              </w:rPr>
              <w:t xml:space="preserve">), which is a change from previous </w:t>
            </w:r>
            <w:r w:rsidR="006F66F6">
              <w:rPr>
                <w:rFonts w:ascii="Times New Roman" w:hAnsi="Times New Roman" w:cs="Times New Roman"/>
                <w:sz w:val="24"/>
                <w:szCs w:val="24"/>
              </w:rPr>
              <w:t>semester</w:t>
            </w:r>
            <w:r>
              <w:rPr>
                <w:rFonts w:ascii="Times New Roman" w:hAnsi="Times New Roman" w:cs="Times New Roman"/>
                <w:sz w:val="24"/>
                <w:szCs w:val="24"/>
              </w:rPr>
              <w:t>.</w:t>
            </w:r>
            <w:r w:rsidR="00BC3316">
              <w:rPr>
                <w:rFonts w:ascii="Times New Roman" w:hAnsi="Times New Roman" w:cs="Times New Roman"/>
                <w:sz w:val="24"/>
                <w:szCs w:val="24"/>
              </w:rPr>
              <w:t xml:space="preserve">  This might be partially due to </w:t>
            </w:r>
            <w:r w:rsidR="006F66F6">
              <w:rPr>
                <w:rFonts w:ascii="Times New Roman" w:hAnsi="Times New Roman" w:cs="Times New Roman"/>
                <w:sz w:val="24"/>
                <w:szCs w:val="24"/>
              </w:rPr>
              <w:t>similarity with other relevant courses they take and not having lots of practical tasks.</w:t>
            </w:r>
          </w:p>
        </w:tc>
        <w:tc>
          <w:tcPr>
            <w:tcW w:w="5770" w:type="dxa"/>
          </w:tcPr>
          <w:p w14:paraId="3A4F48DA" w14:textId="67FF5E9E" w:rsidR="00917881" w:rsidRDefault="00CF1AAB" w:rsidP="00DD5DB9">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 </w:t>
            </w:r>
          </w:p>
        </w:tc>
      </w:tr>
      <w:tr w:rsidR="000647F6" w14:paraId="62BC04AF" w14:textId="77777777" w:rsidTr="00203916">
        <w:trPr>
          <w:trHeight w:val="645"/>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42D739CC" w14:textId="77777777" w:rsidR="00917881" w:rsidRPr="0032685F" w:rsidRDefault="00917881" w:rsidP="00DD5DB9">
            <w:pPr>
              <w:contextualSpacing/>
              <w:rPr>
                <w:rFonts w:ascii="Times New Roman" w:hAnsi="Times New Roman" w:cs="Times New Roman"/>
                <w:sz w:val="24"/>
                <w:szCs w:val="24"/>
              </w:rPr>
            </w:pPr>
            <w:r w:rsidRPr="008331F6">
              <w:rPr>
                <w:rFonts w:ascii="Times New Roman" w:hAnsi="Times New Roman" w:cs="Times New Roman"/>
                <w:b w:val="0"/>
                <w:sz w:val="24"/>
                <w:szCs w:val="24"/>
              </w:rPr>
              <w:t xml:space="preserve">4.  </w:t>
            </w:r>
            <w:r w:rsidRPr="004979EE">
              <w:rPr>
                <w:rFonts w:ascii="Times New Roman" w:hAnsi="Times New Roman" w:cs="Times New Roman"/>
                <w:b w:val="0"/>
                <w:sz w:val="24"/>
                <w:szCs w:val="24"/>
              </w:rPr>
              <w:t>Effectiveness of</w:t>
            </w:r>
            <w:r w:rsidRPr="0032685F">
              <w:rPr>
                <w:rFonts w:ascii="Times New Roman" w:hAnsi="Times New Roman" w:cs="Times New Roman"/>
                <w:b w:val="0"/>
                <w:sz w:val="24"/>
                <w:szCs w:val="24"/>
              </w:rPr>
              <w:t xml:space="preserve"> </w:t>
            </w:r>
            <w:r>
              <w:rPr>
                <w:rFonts w:ascii="Times New Roman" w:hAnsi="Times New Roman" w:cs="Times New Roman"/>
                <w:b w:val="0"/>
                <w:sz w:val="24"/>
                <w:szCs w:val="24"/>
              </w:rPr>
              <w:t xml:space="preserve">any course innovations introduced, </w:t>
            </w:r>
            <w:r w:rsidRPr="0032685F">
              <w:rPr>
                <w:rFonts w:ascii="Times New Roman" w:hAnsi="Times New Roman" w:cs="Times New Roman"/>
                <w:b w:val="0"/>
                <w:sz w:val="24"/>
                <w:szCs w:val="24"/>
              </w:rPr>
              <w:t>teaching, learning and assessment methods employed</w:t>
            </w:r>
            <w:r>
              <w:rPr>
                <w:rStyle w:val="FootnoteReference"/>
                <w:rFonts w:ascii="Times New Roman" w:hAnsi="Times New Roman" w:cs="Times New Roman"/>
                <w:b w:val="0"/>
                <w:sz w:val="24"/>
                <w:szCs w:val="24"/>
              </w:rPr>
              <w:footnoteReference w:id="4"/>
            </w:r>
          </w:p>
        </w:tc>
        <w:tc>
          <w:tcPr>
            <w:tcW w:w="6056" w:type="dxa"/>
            <w:gridSpan w:val="2"/>
          </w:tcPr>
          <w:p w14:paraId="55D1266B" w14:textId="7B9EA517" w:rsidR="00917881" w:rsidRDefault="000C1F1A" w:rsidP="00EF6A0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Course is largely focused on “learning by doing” by having students always engaged in programming assignments, and implementing the concepts discussed in the lectures.</w:t>
            </w:r>
          </w:p>
        </w:tc>
        <w:tc>
          <w:tcPr>
            <w:tcW w:w="5770" w:type="dxa"/>
          </w:tcPr>
          <w:p w14:paraId="53BBB282" w14:textId="103062A9" w:rsidR="00917881" w:rsidRDefault="00EF6A00" w:rsidP="00CF1AAB">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course project, which weigh 30%, was divided into three parts. Students had to present their work and improve their work until the next meeting without losing points. This allowed to clarify the requirements.</w:t>
            </w:r>
          </w:p>
        </w:tc>
      </w:tr>
      <w:tr w:rsidR="000647F6" w14:paraId="532E7B40" w14:textId="77777777" w:rsidTr="00203916">
        <w:trPr>
          <w:trHeight w:val="474"/>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620C9725" w14:textId="77777777" w:rsidR="000647F6" w:rsidRPr="0032685F" w:rsidRDefault="000647F6" w:rsidP="000647F6">
            <w:pPr>
              <w:contextualSpacing/>
              <w:jc w:val="both"/>
              <w:rPr>
                <w:rFonts w:ascii="Times New Roman" w:hAnsi="Times New Roman" w:cs="Times New Roman"/>
                <w:b w:val="0"/>
                <w:i/>
                <w:sz w:val="24"/>
                <w:szCs w:val="24"/>
              </w:rPr>
            </w:pPr>
            <w:r w:rsidRPr="008331F6">
              <w:rPr>
                <w:rFonts w:ascii="Times New Roman" w:hAnsi="Times New Roman" w:cs="Times New Roman"/>
                <w:b w:val="0"/>
                <w:sz w:val="24"/>
                <w:szCs w:val="24"/>
              </w:rPr>
              <w:t xml:space="preserve">5. </w:t>
            </w:r>
            <w:r>
              <w:rPr>
                <w:rFonts w:ascii="Times New Roman" w:hAnsi="Times New Roman" w:cs="Times New Roman"/>
                <w:b w:val="0"/>
                <w:sz w:val="24"/>
                <w:szCs w:val="24"/>
                <w:lang w:val="ru-RU"/>
              </w:rPr>
              <w:t xml:space="preserve"> </w:t>
            </w:r>
            <w:r w:rsidRPr="0032685F">
              <w:rPr>
                <w:rFonts w:ascii="Times New Roman" w:hAnsi="Times New Roman" w:cs="Times New Roman"/>
                <w:b w:val="0"/>
                <w:sz w:val="24"/>
                <w:szCs w:val="24"/>
              </w:rPr>
              <w:t>Issues raised by students</w:t>
            </w:r>
          </w:p>
        </w:tc>
        <w:tc>
          <w:tcPr>
            <w:tcW w:w="6056" w:type="dxa"/>
            <w:gridSpan w:val="2"/>
          </w:tcPr>
          <w:p w14:paraId="180F6406" w14:textId="417A1E37" w:rsidR="000647F6" w:rsidRDefault="00EF6A00"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issues were raised this year.</w:t>
            </w:r>
          </w:p>
        </w:tc>
        <w:tc>
          <w:tcPr>
            <w:tcW w:w="5770" w:type="dxa"/>
          </w:tcPr>
          <w:p w14:paraId="217CFE24" w14:textId="0A432BF6" w:rsidR="000647F6" w:rsidRDefault="00BC331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Students </w:t>
            </w:r>
            <w:r w:rsidR="00EF6A00">
              <w:rPr>
                <w:rFonts w:ascii="Times New Roman" w:hAnsi="Times New Roman" w:cs="Times New Roman"/>
                <w:sz w:val="24"/>
                <w:szCs w:val="24"/>
              </w:rPr>
              <w:t>seemed</w:t>
            </w:r>
            <w:r>
              <w:rPr>
                <w:rFonts w:ascii="Times New Roman" w:hAnsi="Times New Roman" w:cs="Times New Roman"/>
                <w:sz w:val="24"/>
                <w:szCs w:val="24"/>
              </w:rPr>
              <w:t xml:space="preserve"> not so critical</w:t>
            </w:r>
            <w:r w:rsidR="00E8402C">
              <w:rPr>
                <w:rFonts w:ascii="Times New Roman" w:hAnsi="Times New Roman" w:cs="Times New Roman"/>
                <w:sz w:val="24"/>
                <w:szCs w:val="24"/>
              </w:rPr>
              <w:t>.</w:t>
            </w:r>
          </w:p>
        </w:tc>
      </w:tr>
      <w:tr w:rsidR="000647F6" w14:paraId="049CD8F5" w14:textId="77777777" w:rsidTr="00203916">
        <w:trPr>
          <w:trHeight w:val="482"/>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393B2DBA" w14:textId="77777777" w:rsidR="000647F6" w:rsidRPr="0032685F" w:rsidRDefault="000647F6" w:rsidP="000647F6">
            <w:pPr>
              <w:contextualSpacing/>
              <w:rPr>
                <w:rFonts w:ascii="Times New Roman" w:hAnsi="Times New Roman" w:cs="Times New Roman"/>
                <w:b w:val="0"/>
                <w:sz w:val="24"/>
                <w:szCs w:val="24"/>
              </w:rPr>
            </w:pPr>
            <w:r w:rsidRPr="0032685F">
              <w:rPr>
                <w:rFonts w:ascii="Times New Roman" w:hAnsi="Times New Roman" w:cs="Times New Roman"/>
                <w:b w:val="0"/>
                <w:sz w:val="24"/>
                <w:szCs w:val="24"/>
              </w:rPr>
              <w:lastRenderedPageBreak/>
              <w:t>6.  Issues raised by external examiners/peer reviewers</w:t>
            </w:r>
          </w:p>
        </w:tc>
        <w:tc>
          <w:tcPr>
            <w:tcW w:w="6056" w:type="dxa"/>
            <w:gridSpan w:val="2"/>
          </w:tcPr>
          <w:p w14:paraId="2E560C7E" w14:textId="23B9E0FE" w:rsidR="000647F6" w:rsidRDefault="00BC331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issues were raised this year.</w:t>
            </w:r>
          </w:p>
        </w:tc>
        <w:tc>
          <w:tcPr>
            <w:tcW w:w="5770" w:type="dxa"/>
          </w:tcPr>
          <w:p w14:paraId="362A0209" w14:textId="4C7BBAE0" w:rsidR="000647F6" w:rsidRDefault="000647F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647F6" w14:paraId="2EC4DF77" w14:textId="77777777" w:rsidTr="00203916">
        <w:trPr>
          <w:trHeight w:val="472"/>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103BDFA3" w14:textId="77777777" w:rsidR="000647F6" w:rsidRPr="00E6490C" w:rsidRDefault="000647F6" w:rsidP="000647F6">
            <w:pPr>
              <w:contextualSpacing/>
              <w:rPr>
                <w:rFonts w:ascii="Times New Roman" w:hAnsi="Times New Roman" w:cs="Times New Roman"/>
                <w:b w:val="0"/>
                <w:sz w:val="24"/>
                <w:szCs w:val="24"/>
              </w:rPr>
            </w:pPr>
            <w:r w:rsidRPr="00E6490C">
              <w:rPr>
                <w:rFonts w:ascii="Times New Roman" w:hAnsi="Times New Roman" w:cs="Times New Roman"/>
                <w:b w:val="0"/>
                <w:sz w:val="24"/>
                <w:szCs w:val="24"/>
              </w:rPr>
              <w:t>7.  Identified unique examples of best practice</w:t>
            </w:r>
          </w:p>
        </w:tc>
        <w:tc>
          <w:tcPr>
            <w:tcW w:w="6056" w:type="dxa"/>
            <w:gridSpan w:val="2"/>
          </w:tcPr>
          <w:p w14:paraId="52829063" w14:textId="7B6C3326" w:rsidR="000647F6" w:rsidRDefault="000647F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Course is largely focused on “learning by doing” by having students always engaged in programming assignments, and implementing the concepts discussed in the lectures.</w:t>
            </w:r>
          </w:p>
        </w:tc>
        <w:tc>
          <w:tcPr>
            <w:tcW w:w="5770" w:type="dxa"/>
          </w:tcPr>
          <w:p w14:paraId="75EA0B6A" w14:textId="0A7CC56C" w:rsidR="000647F6" w:rsidRDefault="007F2A2A"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course makes use of</w:t>
            </w:r>
            <w:r w:rsidRPr="000647F6">
              <w:rPr>
                <w:rFonts w:ascii="Times New Roman" w:hAnsi="Times New Roman" w:cs="Times New Roman"/>
                <w:sz w:val="24"/>
                <w:szCs w:val="24"/>
              </w:rPr>
              <w:t xml:space="preserve"> continuous assessment</w:t>
            </w:r>
            <w:r>
              <w:rPr>
                <w:rFonts w:ascii="Times New Roman" w:hAnsi="Times New Roman" w:cs="Times New Roman"/>
                <w:sz w:val="24"/>
                <w:szCs w:val="24"/>
              </w:rPr>
              <w:t xml:space="preserve"> and feedback, which are well-matched to CLOs, allowing us to monitor how well students are meeting CLOs throughout the semester.  </w:t>
            </w:r>
          </w:p>
        </w:tc>
      </w:tr>
      <w:tr w:rsidR="000647F6" w14:paraId="6413E17D" w14:textId="77777777" w:rsidTr="00203916">
        <w:trPr>
          <w:trHeight w:val="638"/>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51BD98BE" w14:textId="77777777" w:rsidR="000647F6" w:rsidRPr="0032685F" w:rsidRDefault="000647F6" w:rsidP="000647F6">
            <w:pPr>
              <w:contextualSpacing/>
              <w:rPr>
                <w:rFonts w:ascii="Times New Roman" w:hAnsi="Times New Roman" w:cs="Times New Roman"/>
                <w:b w:val="0"/>
                <w:sz w:val="24"/>
                <w:szCs w:val="24"/>
              </w:rPr>
            </w:pPr>
            <w:r w:rsidRPr="0032685F">
              <w:rPr>
                <w:rFonts w:ascii="Times New Roman" w:hAnsi="Times New Roman" w:cs="Times New Roman"/>
                <w:b w:val="0"/>
                <w:sz w:val="24"/>
                <w:szCs w:val="24"/>
              </w:rPr>
              <w:t>8.  Implementation of the NU Quality Enhancement Theme within the course</w:t>
            </w:r>
          </w:p>
        </w:tc>
        <w:tc>
          <w:tcPr>
            <w:tcW w:w="6056" w:type="dxa"/>
            <w:gridSpan w:val="2"/>
          </w:tcPr>
          <w:p w14:paraId="719999EC" w14:textId="0DD3EB23" w:rsidR="000647F6" w:rsidRPr="007F2A2A" w:rsidRDefault="00BC331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620379">
              <w:rPr>
                <w:rFonts w:ascii="Times New Roman" w:hAnsi="Times New Roman" w:cs="Times New Roman"/>
              </w:rPr>
              <w:t>Sustaining Innovation in Learning and Teaching”</w:t>
            </w:r>
            <w:r>
              <w:rPr>
                <w:rFonts w:ascii="Times New Roman" w:hAnsi="Times New Roman" w:cs="Times New Roman"/>
              </w:rPr>
              <w:t xml:space="preserve"> </w:t>
            </w:r>
            <w:r w:rsidR="007F2A2A">
              <w:rPr>
                <w:rFonts w:ascii="Times New Roman" w:hAnsi="Times New Roman" w:cs="Times New Roman"/>
              </w:rPr>
              <w:t>–</w:t>
            </w:r>
            <w:r>
              <w:rPr>
                <w:rFonts w:ascii="Times New Roman" w:hAnsi="Times New Roman" w:cs="Times New Roman"/>
              </w:rPr>
              <w:t xml:space="preserve"> </w:t>
            </w:r>
            <w:r w:rsidR="007F2A2A">
              <w:rPr>
                <w:rFonts w:ascii="Times New Roman" w:hAnsi="Times New Roman" w:cs="Times New Roman"/>
              </w:rPr>
              <w:t>We use</w:t>
            </w:r>
            <w:r w:rsidR="00E8402C">
              <w:rPr>
                <w:rFonts w:ascii="Times New Roman" w:hAnsi="Times New Roman" w:cs="Times New Roman"/>
              </w:rPr>
              <w:t xml:space="preserve"> </w:t>
            </w:r>
            <w:r w:rsidR="007F2A2A">
              <w:rPr>
                <w:rFonts w:ascii="Times New Roman" w:hAnsi="Times New Roman" w:cs="Times New Roman"/>
              </w:rPr>
              <w:t>a focus on “learning by doing”.</w:t>
            </w:r>
          </w:p>
        </w:tc>
        <w:tc>
          <w:tcPr>
            <w:tcW w:w="5770" w:type="dxa"/>
          </w:tcPr>
          <w:p w14:paraId="2CB2D7F7" w14:textId="20598599" w:rsidR="000647F6" w:rsidRDefault="000647F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647F6" w14:paraId="6F61DE3D" w14:textId="77777777" w:rsidTr="00203916">
        <w:trPr>
          <w:trHeight w:val="417"/>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69BE728B" w14:textId="77777777" w:rsidR="000647F6" w:rsidRPr="0032685F" w:rsidRDefault="000647F6" w:rsidP="000647F6">
            <w:pPr>
              <w:contextualSpacing/>
              <w:rPr>
                <w:rFonts w:ascii="Times New Roman" w:hAnsi="Times New Roman" w:cs="Times New Roman"/>
                <w:b w:val="0"/>
                <w:i/>
                <w:sz w:val="24"/>
                <w:szCs w:val="24"/>
              </w:rPr>
            </w:pPr>
            <w:r w:rsidRPr="0032685F">
              <w:rPr>
                <w:rFonts w:ascii="Times New Roman" w:hAnsi="Times New Roman" w:cs="Times New Roman"/>
                <w:b w:val="0"/>
                <w:sz w:val="24"/>
                <w:szCs w:val="24"/>
              </w:rPr>
              <w:t xml:space="preserve">9.  </w:t>
            </w:r>
            <w:r w:rsidRPr="003559BF">
              <w:rPr>
                <w:rFonts w:ascii="Times New Roman" w:hAnsi="Times New Roman" w:cs="Times New Roman"/>
                <w:b w:val="0"/>
                <w:sz w:val="24"/>
                <w:szCs w:val="24"/>
              </w:rPr>
              <w:t>Actions planned for the next academic year</w:t>
            </w:r>
            <w:r w:rsidRPr="003559BF">
              <w:rPr>
                <w:rStyle w:val="FootnoteReference"/>
                <w:rFonts w:ascii="Times New Roman" w:hAnsi="Times New Roman" w:cs="Times New Roman"/>
                <w:b w:val="0"/>
                <w:sz w:val="24"/>
                <w:szCs w:val="24"/>
              </w:rPr>
              <w:footnoteReference w:id="5"/>
            </w:r>
          </w:p>
        </w:tc>
        <w:tc>
          <w:tcPr>
            <w:tcW w:w="11826" w:type="dxa"/>
            <w:gridSpan w:val="3"/>
          </w:tcPr>
          <w:p w14:paraId="7F35A0A9" w14:textId="647291A7" w:rsidR="006F66F6" w:rsidRDefault="003559BF" w:rsidP="003559BF">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 intend to show more functions of Visual Studio Code text editor. During the presentation students are still not confident with the tool. Also, I want to add a script which returns to home page of the website if the page following the URL is not found. </w:t>
            </w:r>
            <w:r w:rsidR="006F66F6">
              <w:rPr>
                <w:rFonts w:ascii="Times New Roman" w:hAnsi="Times New Roman" w:cs="Times New Roman"/>
                <w:sz w:val="24"/>
                <w:szCs w:val="24"/>
              </w:rPr>
              <w:t xml:space="preserve">Another thing I foresee is to publish websites as they develop. </w:t>
            </w:r>
          </w:p>
          <w:p w14:paraId="2548A800" w14:textId="3A022441" w:rsidR="000647F6" w:rsidRDefault="003559BF" w:rsidP="003559BF">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Finally, add the week to work with the text. It should include some theoretical part, samples and exercises. This semester such exercises were added, but the topic was left as a self-study.</w:t>
            </w:r>
          </w:p>
        </w:tc>
      </w:tr>
      <w:tr w:rsidR="000647F6" w14:paraId="157252D0" w14:textId="77777777" w:rsidTr="00203916">
        <w:trPr>
          <w:trHeight w:val="417"/>
        </w:trPr>
        <w:tc>
          <w:tcPr>
            <w:cnfStyle w:val="001000000000" w:firstRow="0" w:lastRow="0" w:firstColumn="1" w:lastColumn="0" w:oddVBand="0" w:evenVBand="0" w:oddHBand="0" w:evenHBand="0" w:firstRowFirstColumn="0" w:firstRowLastColumn="0" w:lastRowFirstColumn="0" w:lastRowLastColumn="0"/>
            <w:tcW w:w="1736" w:type="dxa"/>
            <w:vAlign w:val="center"/>
          </w:tcPr>
          <w:p w14:paraId="1897CCFD" w14:textId="77777777" w:rsidR="000647F6" w:rsidRPr="0032685F" w:rsidRDefault="000647F6" w:rsidP="000647F6">
            <w:pPr>
              <w:contextualSpacing/>
              <w:rPr>
                <w:rFonts w:ascii="Times New Roman" w:hAnsi="Times New Roman" w:cs="Times New Roman"/>
                <w:sz w:val="24"/>
                <w:szCs w:val="24"/>
              </w:rPr>
            </w:pPr>
            <w:r w:rsidRPr="0032685F">
              <w:rPr>
                <w:rFonts w:ascii="Times New Roman" w:hAnsi="Times New Roman" w:cs="Times New Roman"/>
                <w:b w:val="0"/>
                <w:sz w:val="24"/>
                <w:szCs w:val="24"/>
              </w:rPr>
              <w:t>10.  Program Director’s Comments</w:t>
            </w:r>
          </w:p>
        </w:tc>
        <w:tc>
          <w:tcPr>
            <w:tcW w:w="11826" w:type="dxa"/>
            <w:gridSpan w:val="3"/>
          </w:tcPr>
          <w:p w14:paraId="129FBF15" w14:textId="1ADC9853" w:rsidR="000647F6" w:rsidRDefault="000647F6" w:rsidP="000647F6">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2E01">
              <w:rPr>
                <w:rFonts w:ascii="Times New Roman" w:hAnsi="Times New Roman" w:cs="Times New Roman"/>
                <w:sz w:val="24"/>
                <w:szCs w:val="24"/>
              </w:rPr>
              <w:t>I have reviewed the report, and the corresponding support materials kept with the department.  The observations and comments are consistent with the department-level appraisal of the course.</w:t>
            </w:r>
          </w:p>
        </w:tc>
      </w:tr>
    </w:tbl>
    <w:p w14:paraId="5DDFA24B" w14:textId="77777777" w:rsidR="00244C4D" w:rsidRDefault="00244C4D"/>
    <w:sectPr w:rsidR="00244C4D" w:rsidSect="00917881">
      <w:pgSz w:w="15840" w:h="12240" w:orient="landscape"/>
      <w:pgMar w:top="709"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2CD98" w14:textId="77777777" w:rsidR="0092234B" w:rsidRDefault="0092234B" w:rsidP="00917881">
      <w:pPr>
        <w:spacing w:after="0" w:line="240" w:lineRule="auto"/>
      </w:pPr>
      <w:r>
        <w:separator/>
      </w:r>
    </w:p>
  </w:endnote>
  <w:endnote w:type="continuationSeparator" w:id="0">
    <w:p w14:paraId="3929F851" w14:textId="77777777" w:rsidR="0092234B" w:rsidRDefault="0092234B" w:rsidP="0091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116A8" w14:textId="77777777" w:rsidR="0092234B" w:rsidRDefault="0092234B" w:rsidP="00917881">
      <w:pPr>
        <w:spacing w:after="0" w:line="240" w:lineRule="auto"/>
      </w:pPr>
      <w:r>
        <w:separator/>
      </w:r>
    </w:p>
  </w:footnote>
  <w:footnote w:type="continuationSeparator" w:id="0">
    <w:p w14:paraId="0934C570" w14:textId="77777777" w:rsidR="0092234B" w:rsidRDefault="0092234B" w:rsidP="00917881">
      <w:pPr>
        <w:spacing w:after="0" w:line="240" w:lineRule="auto"/>
      </w:pPr>
      <w:r>
        <w:continuationSeparator/>
      </w:r>
    </w:p>
  </w:footnote>
  <w:footnote w:id="1">
    <w:p w14:paraId="54B77757" w14:textId="77777777" w:rsidR="00917881" w:rsidRPr="00F538EA" w:rsidRDefault="00917881" w:rsidP="00917881">
      <w:pPr>
        <w:pStyle w:val="FootnoteText"/>
        <w:rPr>
          <w:sz w:val="18"/>
          <w:szCs w:val="18"/>
        </w:rPr>
      </w:pPr>
      <w:r w:rsidRPr="00F538EA">
        <w:rPr>
          <w:rStyle w:val="FootnoteReference"/>
          <w:sz w:val="18"/>
          <w:szCs w:val="18"/>
        </w:rPr>
        <w:footnoteRef/>
      </w:r>
      <w:r w:rsidRPr="00F538EA">
        <w:rPr>
          <w:sz w:val="18"/>
          <w:szCs w:val="18"/>
        </w:rPr>
        <w:t xml:space="preserve"> </w:t>
      </w:r>
      <w:r w:rsidRPr="00F538EA">
        <w:rPr>
          <w:rFonts w:ascii="Times New Roman" w:hAnsi="Times New Roman" w:cs="Times New Roman"/>
          <w:sz w:val="18"/>
          <w:szCs w:val="18"/>
        </w:rPr>
        <w:t>When two or more instructors teach a course, one annual course monitoring report shall be completed after a thorough discussion with the instructors involved</w:t>
      </w:r>
    </w:p>
  </w:footnote>
  <w:footnote w:id="2">
    <w:p w14:paraId="1D6A2BB6" w14:textId="77777777" w:rsidR="00917881" w:rsidRPr="00F538EA" w:rsidRDefault="00917881" w:rsidP="00917881">
      <w:pPr>
        <w:pStyle w:val="FootnoteText"/>
        <w:rPr>
          <w:sz w:val="18"/>
          <w:szCs w:val="18"/>
        </w:rPr>
      </w:pPr>
      <w:r w:rsidRPr="00F538EA">
        <w:rPr>
          <w:rStyle w:val="FootnoteReference"/>
          <w:sz w:val="18"/>
          <w:szCs w:val="18"/>
        </w:rPr>
        <w:footnoteRef/>
      </w:r>
      <w:r w:rsidRPr="00F538EA">
        <w:rPr>
          <w:sz w:val="18"/>
          <w:szCs w:val="18"/>
        </w:rPr>
        <w:t xml:space="preserve"> </w:t>
      </w:r>
      <w:r w:rsidRPr="00F538EA">
        <w:rPr>
          <w:rFonts w:ascii="Times New Roman" w:hAnsi="Times New Roman" w:cs="Times New Roman"/>
          <w:sz w:val="18"/>
          <w:szCs w:val="18"/>
        </w:rPr>
        <w:t>analysis of grade distributions (mean, standard deviation), number of failures, coursework versus examination grades</w:t>
      </w:r>
    </w:p>
  </w:footnote>
  <w:footnote w:id="3">
    <w:p w14:paraId="0D1B9633" w14:textId="77777777" w:rsidR="00917881" w:rsidRPr="00F538EA" w:rsidRDefault="00917881" w:rsidP="00917881">
      <w:pPr>
        <w:spacing w:after="0" w:line="240" w:lineRule="auto"/>
        <w:rPr>
          <w:rFonts w:ascii="Times New Roman" w:hAnsi="Times New Roman" w:cs="Times New Roman"/>
          <w:i/>
          <w:sz w:val="18"/>
          <w:szCs w:val="18"/>
        </w:rPr>
      </w:pPr>
      <w:r w:rsidRPr="00F538EA">
        <w:rPr>
          <w:rStyle w:val="FootnoteReference"/>
          <w:sz w:val="18"/>
          <w:szCs w:val="18"/>
        </w:rPr>
        <w:footnoteRef/>
      </w:r>
      <w:r w:rsidRPr="00F538EA">
        <w:rPr>
          <w:sz w:val="18"/>
          <w:szCs w:val="18"/>
        </w:rPr>
        <w:t xml:space="preserve"> </w:t>
      </w:r>
      <w:r w:rsidRPr="00F538EA">
        <w:rPr>
          <w:rFonts w:ascii="Times New Roman" w:hAnsi="Times New Roman" w:cs="Times New Roman"/>
          <w:sz w:val="18"/>
          <w:szCs w:val="18"/>
        </w:rPr>
        <w:t>the extent to which students have achieved the CLOs</w:t>
      </w:r>
    </w:p>
  </w:footnote>
  <w:footnote w:id="4">
    <w:p w14:paraId="765DD507" w14:textId="77777777" w:rsidR="00917881" w:rsidRPr="00F538EA" w:rsidRDefault="00917881" w:rsidP="00917881">
      <w:pPr>
        <w:pStyle w:val="FootnoteText"/>
        <w:rPr>
          <w:sz w:val="18"/>
          <w:szCs w:val="18"/>
        </w:rPr>
      </w:pPr>
      <w:r w:rsidRPr="00F538EA">
        <w:rPr>
          <w:rStyle w:val="FootnoteReference"/>
          <w:sz w:val="18"/>
          <w:szCs w:val="18"/>
        </w:rPr>
        <w:footnoteRef/>
      </w:r>
      <w:r w:rsidRPr="00F538EA">
        <w:rPr>
          <w:sz w:val="18"/>
          <w:szCs w:val="18"/>
        </w:rPr>
        <w:t xml:space="preserve"> </w:t>
      </w:r>
      <w:r w:rsidRPr="00F538EA">
        <w:rPr>
          <w:rFonts w:ascii="Times New Roman" w:hAnsi="Times New Roman" w:cs="Times New Roman"/>
          <w:sz w:val="18"/>
          <w:szCs w:val="18"/>
        </w:rPr>
        <w:t>in terms of their effectiveness in achieving the CLOs</w:t>
      </w:r>
    </w:p>
  </w:footnote>
  <w:footnote w:id="5">
    <w:p w14:paraId="08C257B8" w14:textId="77777777" w:rsidR="000647F6" w:rsidRDefault="000647F6" w:rsidP="00917881">
      <w:pPr>
        <w:pStyle w:val="FootnoteText"/>
      </w:pPr>
      <w:r w:rsidRPr="00F538EA">
        <w:rPr>
          <w:rStyle w:val="FootnoteReference"/>
          <w:sz w:val="18"/>
          <w:szCs w:val="18"/>
        </w:rPr>
        <w:footnoteRef/>
      </w:r>
      <w:r w:rsidRPr="00F538EA">
        <w:rPr>
          <w:sz w:val="18"/>
          <w:szCs w:val="18"/>
        </w:rPr>
        <w:t xml:space="preserve"> </w:t>
      </w:r>
      <w:r w:rsidRPr="00F538EA">
        <w:rPr>
          <w:rFonts w:ascii="Times New Roman" w:hAnsi="Times New Roman" w:cs="Times New Roman"/>
          <w:sz w:val="18"/>
          <w:szCs w:val="18"/>
        </w:rPr>
        <w:t>major or minor course modifications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881"/>
    <w:rsid w:val="00047E9E"/>
    <w:rsid w:val="000647F6"/>
    <w:rsid w:val="000753F6"/>
    <w:rsid w:val="000A4CCA"/>
    <w:rsid w:val="000C1F1A"/>
    <w:rsid w:val="000E2AC0"/>
    <w:rsid w:val="000E3060"/>
    <w:rsid w:val="00131887"/>
    <w:rsid w:val="00151685"/>
    <w:rsid w:val="001654AB"/>
    <w:rsid w:val="00177800"/>
    <w:rsid w:val="00182112"/>
    <w:rsid w:val="00203916"/>
    <w:rsid w:val="00213FC4"/>
    <w:rsid w:val="00244C4D"/>
    <w:rsid w:val="002E331A"/>
    <w:rsid w:val="00301E24"/>
    <w:rsid w:val="00337805"/>
    <w:rsid w:val="00354CB6"/>
    <w:rsid w:val="003559BF"/>
    <w:rsid w:val="00383438"/>
    <w:rsid w:val="0038719B"/>
    <w:rsid w:val="003B24B0"/>
    <w:rsid w:val="0048455B"/>
    <w:rsid w:val="00502CEC"/>
    <w:rsid w:val="0052000B"/>
    <w:rsid w:val="00542E01"/>
    <w:rsid w:val="005509B8"/>
    <w:rsid w:val="005B5319"/>
    <w:rsid w:val="005E2C6D"/>
    <w:rsid w:val="005E4187"/>
    <w:rsid w:val="006F66F6"/>
    <w:rsid w:val="007354EE"/>
    <w:rsid w:val="007A4FF3"/>
    <w:rsid w:val="007F2A2A"/>
    <w:rsid w:val="00816AD3"/>
    <w:rsid w:val="00833493"/>
    <w:rsid w:val="008700C3"/>
    <w:rsid w:val="00894641"/>
    <w:rsid w:val="008A1573"/>
    <w:rsid w:val="008C2E55"/>
    <w:rsid w:val="00905FA4"/>
    <w:rsid w:val="00917881"/>
    <w:rsid w:val="0092234B"/>
    <w:rsid w:val="00952381"/>
    <w:rsid w:val="009A4518"/>
    <w:rsid w:val="00A230D5"/>
    <w:rsid w:val="00A82C96"/>
    <w:rsid w:val="00BB64A2"/>
    <w:rsid w:val="00BC3316"/>
    <w:rsid w:val="00BD2F05"/>
    <w:rsid w:val="00C70B3A"/>
    <w:rsid w:val="00C94093"/>
    <w:rsid w:val="00CF1AAB"/>
    <w:rsid w:val="00DC69DF"/>
    <w:rsid w:val="00E31582"/>
    <w:rsid w:val="00E6490C"/>
    <w:rsid w:val="00E8402C"/>
    <w:rsid w:val="00E9575A"/>
    <w:rsid w:val="00ED0866"/>
    <w:rsid w:val="00EF6A00"/>
    <w:rsid w:val="00F44568"/>
    <w:rsid w:val="00F67C8E"/>
    <w:rsid w:val="00F95A3F"/>
    <w:rsid w:val="00FA01AD"/>
    <w:rsid w:val="00FB6084"/>
    <w:rsid w:val="00FF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E69B"/>
  <w15:chartTrackingRefBased/>
  <w15:docId w15:val="{8B701FB4-4983-4D0F-A193-E611D960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81"/>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91788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1788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88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17881"/>
    <w:rPr>
      <w:rFonts w:asciiTheme="majorHAnsi" w:eastAsiaTheme="majorEastAsia" w:hAnsiTheme="majorHAnsi" w:cstheme="majorBidi"/>
      <w:b/>
      <w:bCs/>
      <w:color w:val="4472C4" w:themeColor="accent1"/>
    </w:rPr>
  </w:style>
  <w:style w:type="table" w:customStyle="1" w:styleId="GridTable1Light1">
    <w:name w:val="Grid Table 1 Light1"/>
    <w:basedOn w:val="TableNormal"/>
    <w:uiPriority w:val="46"/>
    <w:rsid w:val="009178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178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881"/>
    <w:rPr>
      <w:rFonts w:eastAsiaTheme="minorEastAsia"/>
      <w:sz w:val="20"/>
      <w:szCs w:val="20"/>
    </w:rPr>
  </w:style>
  <w:style w:type="character" w:styleId="FootnoteReference">
    <w:name w:val="footnote reference"/>
    <w:basedOn w:val="DefaultParagraphFont"/>
    <w:uiPriority w:val="99"/>
    <w:semiHidden/>
    <w:unhideWhenUsed/>
    <w:rsid w:val="009178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94934">
      <w:bodyDiv w:val="1"/>
      <w:marLeft w:val="0"/>
      <w:marRight w:val="0"/>
      <w:marTop w:val="0"/>
      <w:marBottom w:val="0"/>
      <w:divBdr>
        <w:top w:val="none" w:sz="0" w:space="0" w:color="auto"/>
        <w:left w:val="none" w:sz="0" w:space="0" w:color="auto"/>
        <w:bottom w:val="none" w:sz="0" w:space="0" w:color="auto"/>
        <w:right w:val="none" w:sz="0" w:space="0" w:color="auto"/>
      </w:divBdr>
      <w:divsChild>
        <w:div w:id="1924103926">
          <w:marLeft w:val="0"/>
          <w:marRight w:val="0"/>
          <w:marTop w:val="0"/>
          <w:marBottom w:val="0"/>
          <w:divBdr>
            <w:top w:val="none" w:sz="0" w:space="0" w:color="auto"/>
            <w:left w:val="none" w:sz="0" w:space="0" w:color="auto"/>
            <w:bottom w:val="none" w:sz="0" w:space="0" w:color="auto"/>
            <w:right w:val="none" w:sz="0" w:space="0" w:color="auto"/>
          </w:divBdr>
        </w:div>
      </w:divsChild>
    </w:div>
    <w:div w:id="1570458473">
      <w:bodyDiv w:val="1"/>
      <w:marLeft w:val="0"/>
      <w:marRight w:val="0"/>
      <w:marTop w:val="0"/>
      <w:marBottom w:val="0"/>
      <w:divBdr>
        <w:top w:val="none" w:sz="0" w:space="0" w:color="auto"/>
        <w:left w:val="none" w:sz="0" w:space="0" w:color="auto"/>
        <w:bottom w:val="none" w:sz="0" w:space="0" w:color="auto"/>
        <w:right w:val="none" w:sz="0" w:space="0" w:color="auto"/>
      </w:divBdr>
      <w:divsChild>
        <w:div w:id="345401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talgatmanglayev/Desktop/Report/Achievments%20of%20CLOs%201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986247168782707E-2"/>
          <c:y val="0.16094896317355492"/>
          <c:w val="0.91901375283121722"/>
          <c:h val="0.69800247607577282"/>
        </c:manualLayout>
      </c:layout>
      <c:barChart>
        <c:barDir val="col"/>
        <c:grouping val="clustered"/>
        <c:varyColors val="0"/>
        <c:ser>
          <c:idx val="0"/>
          <c:order val="0"/>
          <c:tx>
            <c:strRef>
              <c:f>Sheet2!$H$13:$K$13</c:f>
              <c:strCache>
                <c:ptCount val="4"/>
                <c:pt idx="0">
                  <c:v>81,0%</c:v>
                </c:pt>
                <c:pt idx="1">
                  <c:v>80,9%</c:v>
                </c:pt>
                <c:pt idx="2">
                  <c:v>88,9%</c:v>
                </c:pt>
                <c:pt idx="3">
                  <c:v>81,0%</c:v>
                </c:pt>
              </c:strCache>
            </c:strRef>
          </c:tx>
          <c:invertIfNegative val="0"/>
          <c:cat>
            <c:strLit>
              <c:ptCount val="14"/>
              <c:pt idx="0">
                <c:v>CL.O. 1</c:v>
              </c:pt>
              <c:pt idx="1">
                <c:v>CL.O. 2</c:v>
              </c:pt>
              <c:pt idx="2">
                <c:v>CL.O. 3</c:v>
              </c:pt>
              <c:pt idx="3">
                <c:v>CL.O. 4</c:v>
              </c:pt>
              <c:pt idx="4">
                <c:v>CL.O. 5</c:v>
              </c:pt>
              <c:pt idx="5">
                <c:v>CL.O. 6</c:v>
              </c:pt>
              <c:pt idx="6">
                <c:v>CL.O. 7</c:v>
              </c:pt>
              <c:pt idx="7">
                <c:v>CL.O. 8</c:v>
              </c:pt>
              <c:pt idx="8">
                <c:v>CL.O. 9</c:v>
              </c:pt>
              <c:pt idx="9">
                <c:v>CL.O. 10</c:v>
              </c:pt>
              <c:pt idx="10">
                <c:v>CL.O. 11</c:v>
              </c:pt>
              <c:pt idx="11">
                <c:v>CL.O. 12</c:v>
              </c:pt>
              <c:pt idx="12">
                <c:v>CL.O. 13</c:v>
              </c:pt>
              <c:pt idx="13">
                <c:v>CL.O. 14</c:v>
              </c:pt>
            </c:strLit>
          </c:cat>
          <c:val>
            <c:numRef>
              <c:f>Sheet2!$H$13:$K$13</c:f>
              <c:numCache>
                <c:formatCode>0.0%</c:formatCode>
                <c:ptCount val="4"/>
                <c:pt idx="0">
                  <c:v>0.81024572639510251</c:v>
                </c:pt>
                <c:pt idx="1">
                  <c:v>0.80874526609991859</c:v>
                </c:pt>
                <c:pt idx="2">
                  <c:v>0.88862119815668228</c:v>
                </c:pt>
                <c:pt idx="3">
                  <c:v>0.81024572639510251</c:v>
                </c:pt>
              </c:numCache>
            </c:numRef>
          </c:val>
          <c:extLst>
            <c:ext xmlns:c16="http://schemas.microsoft.com/office/drawing/2014/chart" uri="{C3380CC4-5D6E-409C-BE32-E72D297353CC}">
              <c16:uniqueId val="{00000000-B332-424A-A3CF-0C2F8BA33A59}"/>
            </c:ext>
          </c:extLst>
        </c:ser>
        <c:dLbls>
          <c:showLegendKey val="0"/>
          <c:showVal val="0"/>
          <c:showCatName val="0"/>
          <c:showSerName val="0"/>
          <c:showPercent val="0"/>
          <c:showBubbleSize val="0"/>
        </c:dLbls>
        <c:gapWidth val="150"/>
        <c:axId val="538779368"/>
        <c:axId val="538780936"/>
      </c:barChart>
      <c:catAx>
        <c:axId val="538779368"/>
        <c:scaling>
          <c:orientation val="minMax"/>
        </c:scaling>
        <c:delete val="0"/>
        <c:axPos val="b"/>
        <c:numFmt formatCode="General" sourceLinked="0"/>
        <c:majorTickMark val="out"/>
        <c:minorTickMark val="none"/>
        <c:tickLblPos val="nextTo"/>
        <c:crossAx val="538780936"/>
        <c:crosses val="autoZero"/>
        <c:auto val="1"/>
        <c:lblAlgn val="ctr"/>
        <c:lblOffset val="100"/>
        <c:noMultiLvlLbl val="0"/>
      </c:catAx>
      <c:valAx>
        <c:axId val="538780936"/>
        <c:scaling>
          <c:orientation val="minMax"/>
          <c:max val="1"/>
          <c:min val="0"/>
        </c:scaling>
        <c:delete val="0"/>
        <c:axPos val="l"/>
        <c:majorGridlines/>
        <c:numFmt formatCode="0.0%" sourceLinked="1"/>
        <c:majorTickMark val="out"/>
        <c:minorTickMark val="none"/>
        <c:tickLblPos val="nextTo"/>
        <c:crossAx val="538779368"/>
        <c:crosses val="autoZero"/>
        <c:crossBetween val="between"/>
      </c:valAx>
      <c:spPr>
        <a:noFill/>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 3</dc:creator>
  <cp:keywords/>
  <dc:description/>
  <cp:lastModifiedBy>Talgat Manglayev</cp:lastModifiedBy>
  <cp:revision>24</cp:revision>
  <dcterms:created xsi:type="dcterms:W3CDTF">2018-04-26T04:24:00Z</dcterms:created>
  <dcterms:modified xsi:type="dcterms:W3CDTF">2024-12-07T18:39:00Z</dcterms:modified>
</cp:coreProperties>
</file>