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1FFF6" w14:textId="48AB1CB9" w:rsidR="004F0CB9" w:rsidRDefault="004F0CB9" w:rsidP="004F0CB9">
      <w:pPr>
        <w:pStyle w:val="Titolo1"/>
      </w:pPr>
      <w:r>
        <w:t>Domande di ricerca</w:t>
      </w:r>
    </w:p>
    <w:p w14:paraId="6779CF9A" w14:textId="77777777" w:rsidR="004F0CB9" w:rsidRPr="004F0CB9" w:rsidRDefault="004F0CB9" w:rsidP="004F0CB9"/>
    <w:p w14:paraId="11219FE2" w14:textId="6478C3FB" w:rsidR="005016A8" w:rsidRDefault="00D308B4">
      <w:r>
        <w:t>Sulla base delle informazioni presenti nel set di dati relativo alle trasformazioni, è possibile fare una previsione delle trasformazioni dei contratti da precari a tempo indeterminato?</w:t>
      </w:r>
    </w:p>
    <w:p w14:paraId="1D0F6FA4" w14:textId="0762DAB1" w:rsidR="004F0CB9" w:rsidRDefault="004F0CB9" w:rsidP="004F0CB9">
      <w:r>
        <w:t>Considerato che le quattro basi dati (attivazioni nuovi contratti, chiusura contratti, prolungamento dei contratti, e trasformazioni) hanno una copertura consistente negli anni dal 2012 al 2021 è possibile simulare gli effetti della pandemia in una situazione simile per le quattro tipologie analizzando anche le differenze a livello dei settori?</w:t>
      </w:r>
    </w:p>
    <w:p w14:paraId="4286A470" w14:textId="15EADFC3" w:rsidR="002A5109" w:rsidRDefault="002A5109"/>
    <w:sectPr w:rsidR="002A510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109"/>
    <w:rsid w:val="000D30BC"/>
    <w:rsid w:val="002A5109"/>
    <w:rsid w:val="004F0CB9"/>
    <w:rsid w:val="005016A8"/>
    <w:rsid w:val="00D3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E8DA92"/>
  <w15:chartTrackingRefBased/>
  <w15:docId w15:val="{869E85E7-E639-4591-BB0D-CC12A0511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0CB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0C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OSSUZIO FILIPPO</dc:creator>
  <cp:keywords/>
  <dc:description/>
  <cp:lastModifiedBy>ANGLISANI MAURIZIO</cp:lastModifiedBy>
  <cp:revision>2</cp:revision>
  <dcterms:created xsi:type="dcterms:W3CDTF">2022-03-18T20:00:00Z</dcterms:created>
  <dcterms:modified xsi:type="dcterms:W3CDTF">2022-03-18T20:00:00Z</dcterms:modified>
</cp:coreProperties>
</file>