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before="100" w:after="0" w:line="240" w:lineRule="auto"/>
      </w:pPr>
      <w:r>
        <w:rPr>
          <w:rFonts w:ascii="Arial" w:hAnsi="Arial"/>
          <w:sz w:val="36"/>
          <w:szCs w:val="36"/>
          <w:u w:val="single"/>
          <w:rtl w:val="0"/>
          <w:lang w:val="en-US"/>
        </w:rPr>
        <w:t xml:space="preserve">KELLY RESIDENCE</w:t>
      </w:r>
    </w:p>
    <w:p>
      <w:pPr>
        <w:pStyle w:val="Title"/>
        <w:spacing w:before="100" w:after="0" w:line="240" w:lineRule="auto"/>
      </w:pPr>
      <w:r>
        <w:rPr>
          <w:rFonts w:ascii="Arial" w:hAnsi="Arial"/>
          <w:sz w:val="24"/>
          <w:szCs w:val="24"/>
          <w:rtl w:val="0"/>
          <w:lang w:val="en-US"/>
        </w:rPr>
        <w:t xml:space="preserve">Weekly Agenda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for the week of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6/9/26</w:t>
      </w:r>
    </w:p>
    <w:p>
      <w:pPr>
        <w:pStyle w:val="Body A"/>
        <w:spacing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Attendees: Toby Long, André Mandel, Chandra Baerg, Abby Wittman, Mai Thor</w:t>
      </w:r>
    </w:p>
    <w:p>
      <w:pPr>
        <w:pStyle w:val="Body A"/>
        <w:spacing w:after="0" w:line="240" w:lineRule="auto"/>
      </w:pPr>
    </w:p>
    <w:p>
      <w:pPr>
        <w:pStyle w:val="Heading"/>
      </w:pPr>
      <w:r>
        <w:rPr>
          <w:u w:val="single"/>
          <w:rtl w:val="0"/>
          <w:lang w:val="en-US"/>
        </w:rPr>
        <w:t>PDR / PRELIMINARY DESIGN REVIEW:</w:t>
      </w:r>
    </w:p>
    <w:p>
      <w:pPr>
        <w:pStyle w:val="Body A"/>
        <w:numPr>
          <w:ilvl w:val="0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Under review — June 9 board meeting, Schaffer’s Mill DRC</w:t>
      </w:r>
    </w:p>
    <w:p>
      <w:pPr>
        <w:pStyle w:val="Body A"/>
        <w:numPr>
          <w:ilvl w:val="1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Fees paid — no action required from TLD unless DRC requests additional materials</w:t>
      </w:r>
    </w:p>
    <w:p>
      <w:pPr>
        <w:pStyle w:val="Heading"/>
      </w:pPr>
      <w:r>
        <w:rPr>
          <w:u w:val="single"/>
          <w:rtl w:val="0"/>
          <w:lang w:val="en-US"/>
        </w:rPr>
        <w:t>STATE PERMIT PACKAGE (HCD/DAA):</w:t>
      </w:r>
    </w:p>
    <w:p>
      <w:pPr>
        <w:pStyle w:val="Body A"/>
        <w:numPr>
          <w:ilvl w:val="0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June 26 — coordinating with Method Homes / John Bacon</w:t>
      </w:r>
    </w:p>
    <w:p>
      <w:pPr>
        <w:pStyle w:val="Body A"/>
        <w:numPr>
          <w:ilvl w:val="1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50% set issued — all consultants in coordination for state and local permit</w:t>
      </w:r>
    </w:p>
    <w:p>
      <w:pPr>
        <w:pStyle w:val="Heading"/>
      </w:pPr>
      <w:r>
        <w:rPr>
          <w:u w:val="single"/>
          <w:rtl w:val="0"/>
          <w:lang w:val="en-US"/>
        </w:rPr>
        <w:t>MOD 1 INTERIORS:</w:t>
      </w:r>
    </w:p>
    <w:p>
      <w:pPr>
        <w:pStyle w:val="Body A"/>
        <w:numPr>
          <w:ilvl w:val="0"/>
          <w:numId w:val="2"/>
        </w:numPr>
        <w:spacing w:after="0" w:line="276" w:lineRule="auto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Coordinate Mod 1 interior layout to meet state permit deadline</w:t>
      </w:r>
    </w:p>
    <w:p>
      <w:pPr>
        <w:pStyle w:val="Body A"/>
        <w:numPr>
          <w:ilvl w:val="1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Mechanical room, master bath, laundry scope to be finalized</w:t>
      </w:r>
    </w:p>
    <w:p>
      <w:pPr>
        <w:pStyle w:val="Heading"/>
      </w:pPr>
      <w:r>
        <w:rPr>
          <w:u w:val="single"/>
          <w:rtl w:val="0"/>
          <w:lang w:val="en-US"/>
        </w:rPr>
        <w:t>CONSULTANT DELIVERABLES:</w:t>
      </w:r>
    </w:p>
    <w:p>
      <w:pPr>
        <w:pStyle w:val="Body A"/>
        <w:numPr>
          <w:ilvl w:val="0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All deliverables expected mid to late June for state and local permit</w:t>
      </w:r>
    </w:p>
    <w:p>
      <w:pPr>
        <w:pStyle w:val="Body A"/>
        <w:numPr>
          <w:ilvl w:val="1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MEG: mech, plumbing, Title 24  ·  ISE: structural  ·  Triad Holmes: civil</w:t>
      </w:r>
    </w:p>
    <w:p>
      <w:pPr>
        <w:pStyle w:val="Heading"/>
      </w:pPr>
      <w:r>
        <w:rPr>
          <w:u w:val="single"/>
          <w:rtl w:val="0"/>
          <w:lang w:val="en-US"/>
        </w:rPr>
        <w:t>LOCAL PERMIT — PLACER COUNTY:</w:t>
      </w:r>
    </w:p>
    <w:p>
      <w:pPr>
        <w:pStyle w:val="Body A"/>
        <w:numPr>
          <w:ilvl w:val="0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July 12 — all digital plan check via permits.placer.ca.gov</w:t>
      </w:r>
    </w:p>
    <w:p>
      <w:pPr>
        <w:pStyle w:val="Body A"/>
        <w:numPr>
          <w:ilvl w:val="1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2025 CBC in effect January 1, 2026 — WUI / Part 7 mandatory</w:t>
      </w:r>
    </w:p>
    <w:p>
      <w:pPr>
        <w:pStyle w:val="Heading"/>
      </w:pPr>
      <w:r>
        <w:rPr>
          <w:u w:val="single"/>
          <w:rtl w:val="0"/>
          <w:lang w:val="en-US"/>
        </w:rPr>
        <w:t>FDR PREPARATION:</w:t>
      </w:r>
    </w:p>
    <w:p>
      <w:pPr>
        <w:pStyle w:val="Body A"/>
        <w:numPr>
          <w:ilvl w:val="0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July 29 — FDR board meeting August 11</w:t>
      </w:r>
    </w:p>
    <w:p>
      <w:pPr>
        <w:pStyle w:val="Body A"/>
        <w:numPr>
          <w:ilvl w:val="1"/>
          <w:numId w:val="2"/>
        </w:numPr>
        <w:spacing w:after="0" w:line="276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Begin drawings after PDR approval and full consultant set received</w:t>
      </w:r>
    </w:p>
    <w:sectPr>
      <w:headerReference w:type="default" r:id="rId4"/>
      <w:footerReference w:type="default" r:id="rId5"/>
      <w:pgSz w:w="12240" w:h="158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center"/>
      <w:rPr>
        <w:rFonts w:ascii="Arial" w:cs="Arial" w:hAnsi="Arial" w:eastAsia="Arial"/>
        <w:outline w:val="0"/>
        <w:color w:val="333300"/>
        <w:sz w:val="14"/>
        <w:szCs w:val="14"/>
        <w:u w:color="333300"/>
        <w14:textFill>
          <w14:solidFill>
            <w14:srgbClr w14:val="333300"/>
          </w14:solidFill>
        </w14:textFill>
      </w:rPr>
    </w:pPr>
    <w:r>
      <w:rPr>
        <w:rFonts w:ascii="Arial" w:hAnsi="Arial"/>
        <w:outline w:val="0"/>
        <w:color w:val="333300"/>
        <w:sz w:val="14"/>
        <w:szCs w:val="14"/>
        <w:u w:color="333300"/>
        <w:rtl w:val="0"/>
        <w:lang w:val="de-DE"/>
        <w14:textFill>
          <w14:solidFill>
            <w14:srgbClr w14:val="333300"/>
          </w14:solidFill>
        </w14:textFill>
      </w:rPr>
      <w:t xml:space="preserve">6 1 1 4      l  a      s  a  l  l  e      a v e      # 5 5 2      o  a  k  l  a  n  d       c  a       9  4  6  1  1      p :  4 1 5 . 9 0 5 . 9 0 3 0      </w:t>
    </w:r>
  </w:p>
  <w:p>
    <w:pPr>
      <w:pStyle w:val="Body A"/>
      <w:tabs>
        <w:tab w:val="center" w:pos="4680"/>
        <w:tab w:val="right" w:pos="9340"/>
      </w:tabs>
      <w:spacing w:after="0" w:line="240" w:lineRule="auto"/>
      <w:jc w:val="center"/>
    </w:pPr>
    <w:r>
      <w:rPr>
        <w:rFonts w:ascii="Arial" w:hAnsi="Arial"/>
        <w:outline w:val="0"/>
        <w:color w:val="333300"/>
        <w:sz w:val="12"/>
        <w:szCs w:val="12"/>
        <w:u w:color="333300"/>
        <w:rtl w:val="0"/>
        <w14:textFill>
          <w14:solidFill>
            <w14:srgbClr w14:val="333300"/>
          </w14:solidFill>
        </w14:textFill>
      </w:rPr>
      <w:t xml:space="preserve">w  w   w  . c l e v e r h o m e s . n e t   /   w  w  w . t o b y l o n g d e s i g n . c o m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right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2025927" cy="995513"/>
          <wp:effectExtent l="0" t="0" r="0" b="0"/>
          <wp:docPr id="1073741825" name="officeArt object" descr="chxtl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xtld Logo.png" descr="chxtld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927" cy="9955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3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5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7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9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1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3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5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