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8"/>
          <w:szCs w:val="28"/>
          <w:u w:val="single"/>
        </w:rPr>
      </w:pPr>
      <w:r>
        <w:rPr>
          <w:rFonts w:ascii="Arial" w:hAnsi="Arial"/>
          <w:sz w:val="36"/>
          <w:szCs w:val="36"/>
          <w:u w:val="single"/>
          <w:rtl w:val="0"/>
          <w:lang w:val="en-US"/>
        </w:rPr>
        <w:t>KELLY RESIDENCE</w:t>
      </w:r>
    </w:p>
    <w:p>
      <w:pPr>
        <w:pStyle w:val="Title"/>
        <w:keepNext w:val="0"/>
        <w:keepLines w:val="0"/>
        <w:spacing w:before="100" w:after="0" w:line="240" w:lineRule="auto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en-US"/>
        </w:rPr>
        <w:t>Meeting Recap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Client Weekly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6/19/26</w:t>
      </w:r>
    </w:p>
    <w:p>
      <w:pPr>
        <w:pStyle w:val="Body A"/>
        <w:spacing w:after="0" w:line="240" w:lineRule="auto"/>
      </w:pPr>
      <w:r>
        <w:rPr>
          <w:rFonts w:ascii="Arial" w:hAnsi="Arial"/>
          <w:sz w:val="20"/>
          <w:szCs w:val="20"/>
          <w:rtl w:val="0"/>
          <w:lang w:val="en-US"/>
        </w:rPr>
        <w:t xml:space="preserve">Attendees: Toby Long, André Mandel, Chandra Baerg, Abby Wittman, Mai Thor</w:t>
      </w:r>
    </w:p>
    <w:p>
      <w:pPr>
        <w:pStyle w:val="Body A"/>
        <w:spacing w:after="0" w:line="240" w:lineRule="auto"/>
      </w:pPr>
    </w:p>
    <w:p>
      <w:pPr>
        <w:pStyle w:val="Heading"/>
      </w:pPr>
      <w:r>
        <w:rPr>
          <w:u w:val="single"/>
          <w:rtl w:val="0"/>
          <w:lang w:val="en-US"/>
        </w:rPr>
        <w:t>PDR / DRC STATUS: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DRC board reviewed June 9 — PDR conditionally approved, minor corrections requested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Correction list received from Paul Ferro — TLD to respond within 10 days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Rear setback written confirmation at 25’ lot-specific received from Paul Ferro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Corrections underway: Chandra to issue revised sheets this week</w:t>
      </w:r>
    </w:p>
    <w:p>
      <w:pPr>
        <w:pStyle w:val="Heading"/>
      </w:pPr>
      <w:r>
        <w:rPr>
          <w:u w:val="single"/>
          <w:rtl w:val="0"/>
          <w:lang w:val="en-US"/>
        </w:rPr>
        <w:t>STATE PERMIT (HCD/DAA):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June 26 — 10 days out, package 80% assembled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Method Homes / John Bacon: factory permit strategy call completed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WUI cedar soffit: resolution confirmed — spec revised to non-combustible alternate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Mod 1 interior layout revision in progress — mechanical room expanded, master bath revised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ISE structural revisions incorporated into permit set</w:t>
      </w:r>
    </w:p>
    <w:p>
      <w:pPr>
        <w:pStyle w:val="Heading"/>
      </w:pPr>
      <w:r>
        <w:rPr>
          <w:u w:val="single"/>
          <w:rtl w:val="0"/>
          <w:lang w:val="en-US"/>
        </w:rPr>
        <w:t>MOD 1 INTERIORS: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Vanity design developed and shared with Kellys — northeast corner layout per Sally’s request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Feedback expected from Roland and Sally by end of week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Mechanical room: 128 SF achieved with Mod 1 expansion toward garage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Master bath WC sightline resolved — partition wall repositioned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Kitchen window: 6’ slider confirmed — countertop extension to sill detail added</w:t>
      </w:r>
    </w:p>
    <w:p>
      <w:pPr>
        <w:pStyle w:val="Heading"/>
      </w:pPr>
      <w:r>
        <w:rPr>
          <w:u w:val="single"/>
          <w:rtl w:val="0"/>
          <w:lang w:val="en-US"/>
        </w:rPr>
        <w:t>CONSULTANT COORDINATION: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Geotech (Reno Tahoe Geo / Timothy Miller): report received — no adverse findings</w:t>
      </w:r>
    </w:p>
    <w:p>
      <w:pPr>
        <w:pStyle w:val="Body A"/>
        <w:numPr>
          <w:ilvl w:val="1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Bearing capacity confirmed — conventional stem wall foundation viable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trike w:val="1"/>
          <w:dstrike w:val="0"/>
          <w:sz w:val="20"/>
          <w:szCs w:val="20"/>
          <w:rtl w:val="0"/>
          <w:lang w:val="en-US"/>
        </w:rPr>
        <w:t xml:space="preserve">Civil (Triad/Holmes / Petroni): utility trench routing added to C2 — outstanding item closed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Structural (ISE / DeLeon): LVL sizing confirmed at outer module rims, Mod 3/4/5 all-modular confirmed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MEP (MEG): mechanical and plumbing drafts received — TLD review underway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Arborist (Arbor Solutions / Piercy): updated tree report to be ordered for FDR</w:t>
      </w:r>
    </w:p>
    <w:p>
      <w:pPr>
        <w:pStyle w:val="Heading"/>
      </w:pPr>
      <w:r>
        <w:rPr>
          <w:u w:val="single"/>
          <w:rtl w:val="0"/>
          <w:lang w:val="en-US"/>
        </w:rPr>
        <w:t>LOCAL PERMIT — PLACER COUNTY: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Target submittal July 12 — all-digital via permits.placer.ca.gov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Foundation plan with marriage line callout: ISE and Method Homes coordinating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WUI / Part 7 compliance sheet to be added to permit set</w:t>
      </w:r>
    </w:p>
    <w:p>
      <w:pPr>
        <w:pStyle w:val="Heading"/>
      </w:pPr>
      <w:r>
        <w:rPr>
          <w:u w:val="single"/>
          <w:rtl w:val="0"/>
          <w:lang w:val="en-US"/>
        </w:rPr>
        <w:t>FDR: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FDR prep begins following state permit submittal June 26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FDR submittal target July 29 — FDR board August 11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b/>
          <w:bCs/>
          <w:sz w:val="20"/>
          <w:szCs w:val="20"/>
          <w:rtl w:val="0"/>
          <w:lang w:val="en-US"/>
        </w:rPr>
        <w:t xml:space="preserve">Landscape architect selection: recommend decision by July 1 to allow FDR inclusion</w:t>
      </w:r>
    </w:p>
    <w:p>
      <w:pPr>
        <w:pStyle w:val="Body A"/>
        <w:numPr>
          <w:ilvl w:val="0"/>
          <w:numId w:val="2"/>
        </w:numPr>
        <w:spacing w:after="0" w:line="276" w:lineRule="auto"/>
        <w:rPr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Kalman Varga Design quote ($14,800 two-phase) on hold pending owner direction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center"/>
      <w:rPr>
        <w:rFonts w:ascii="Arial" w:cs="Arial" w:hAnsi="Arial" w:eastAsia="Arial"/>
        <w:outline w:val="0"/>
        <w:color w:val="333300"/>
        <w:sz w:val="14"/>
        <w:szCs w:val="14"/>
        <w:u w:color="333300"/>
        <w14:textFill>
          <w14:solidFill>
            <w14:srgbClr w14:val="333300"/>
          </w14:solidFill>
        </w14:textFill>
      </w:rPr>
    </w:pPr>
    <w:r>
      <w:rPr>
        <w:rFonts w:ascii="Arial" w:hAnsi="Arial"/>
        <w:outline w:val="0"/>
        <w:color w:val="333300"/>
        <w:sz w:val="14"/>
        <w:szCs w:val="14"/>
        <w:u w:color="333300"/>
        <w:rtl w:val="0"/>
        <w:lang w:val="de-DE"/>
        <w14:textFill>
          <w14:solidFill>
            <w14:srgbClr w14:val="333300"/>
          </w14:solidFill>
        </w14:textFill>
      </w:rPr>
      <w:t xml:space="preserve">6 1 1 4      l  a      s  a  l  l  e      a v e      # 5 5 2      o  a  k  l  a  n  d       c  a       9  4  6  1  1      p :  4 1 5 . 9 0 5 . 9 0 3 0      </w:t>
    </w:r>
  </w:p>
  <w:p>
    <w:pPr>
      <w:pStyle w:val="Body A"/>
      <w:tabs>
        <w:tab w:val="center" w:pos="4680"/>
        <w:tab w:val="right" w:pos="9340"/>
      </w:tabs>
      <w:spacing w:after="0" w:line="240" w:lineRule="auto"/>
      <w:jc w:val="center"/>
    </w:pPr>
    <w:r>
      <w:rPr>
        <w:rFonts w:ascii="Arial" w:hAnsi="Arial"/>
        <w:outline w:val="0"/>
        <w:color w:val="333300"/>
        <w:sz w:val="12"/>
        <w:szCs w:val="12"/>
        <w:u w:color="333300"/>
        <w:rtl w:val="0"/>
        <w14:textFill>
          <w14:solidFill>
            <w14:srgbClr w14:val="333300"/>
          </w14:solidFill>
        </w14:textFill>
      </w:rPr>
      <w:t xml:space="preserve">w  w   w  . c l e v e r h o m e s . n e t   /   w  w  w . t o b y l o n g d e s i g n . c o m 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680"/>
        <w:tab w:val="right" w:pos="9340"/>
      </w:tabs>
      <w:spacing w:after="0" w:line="240" w:lineRule="auto"/>
      <w:jc w:val="right"/>
    </w:pPr>
    <w:r>
      <w:rPr>
        <w:outline w:val="0"/>
        <w:color w:val="000000"/>
        <w:u w:color="000000"/>
        <w14:textFill>
          <w14:solidFill>
            <w14:srgbClr w14:val="000000"/>
          </w14:solidFill>
        </w14:textFill>
      </w:rPr>
      <w:drawing xmlns:a="http://schemas.openxmlformats.org/drawingml/2006/main">
        <wp:inline distT="0" distB="0" distL="0" distR="0">
          <wp:extent cx="2025927" cy="995513"/>
          <wp:effectExtent l="0" t="0" r="0" b="0"/>
          <wp:docPr id="1073741825" name="officeArt object" descr="chxtld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hxtld Logo.png" descr="chxtld Logo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927" cy="99551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5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7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96" w:hanging="3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91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3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56" w:hanging="3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7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96" w:hanging="396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516" w:hanging="39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72"/>
      <w:szCs w:val="7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