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bCs w:val="1"/>
          <w:rtl w:val="0"/>
        </w:rPr>
        <w:t xml:space="preserve">PLAN D’ADRESSAGE IP – Version professionnelle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xrandr --output Virtual-1 --mode 1920x1080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🟧 </w:t>
      </w:r>
      <w:r w:rsidDel="00000000" w:rsidR="00000000" w:rsidRPr="00000000">
        <w:rPr>
          <w:b w:val="1"/>
          <w:bCs w:val="1"/>
          <w:rtl w:val="0"/>
        </w:rPr>
        <w:t xml:space="preserve">1. Réseau physique / Proxmox</w:t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5"/>
        <w:gridCol w:w="3005"/>
        <w:gridCol w:w="3005"/>
        <w:tblGridChange w:id="0">
          <w:tblGrid>
            <w:gridCol w:w="3005"/>
            <w:gridCol w:w="3005"/>
            <w:gridCol w:w="300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Élément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IP / Réseau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Proxmox (vmbr0)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192.168.1.1/24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IP hyperviseur 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Passerelle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10.10.0.1/32</w:t>
            </w:r>
          </w:p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10.20.0.1/28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OPNsense (interface MGMT)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Proxmox (vmbr1)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192.168.1.93/24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IP hyperviseur 2</w:t>
            </w:r>
          </w:p>
        </w:tc>
      </w:tr>
    </w:tbl>
    <w:p w:rsidR="00000000" w:rsidDel="00000000" w:rsidP="00000000" w:rsidRDefault="00000000" w:rsidRPr="00000000" w14:paraId="00000011">
      <w:pPr>
        <w:pBdr>
          <w:top w:color="000000" w:space="0" w:sz="12" w:val="single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🟦 </w:t>
      </w:r>
      <w:r w:rsidDel="00000000" w:rsidR="00000000" w:rsidRPr="00000000">
        <w:rPr>
          <w:b w:val="1"/>
          <w:bCs w:val="1"/>
          <w:rtl w:val="0"/>
        </w:rPr>
        <w:t xml:space="preserve">2. VLAN &amp; Réseaux internes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Les VLAN sont séparés pour la sécurité, Zero Trust et le monitoring.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2254"/>
        <w:gridCol w:w="2254"/>
        <w:gridCol w:w="2254"/>
        <w:tblGridChange w:id="0">
          <w:tblGrid>
            <w:gridCol w:w="2254"/>
            <w:gridCol w:w="2254"/>
            <w:gridCol w:w="2254"/>
            <w:gridCol w:w="225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Réseau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Rôle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Exemple VM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10.0.10.0/24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Site Genève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PC Genève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10.0.20.0/24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DMZ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(SaaS, API)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10.0.30.0/24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Wi-Fi Invités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Accès interne limité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10.0.40.0/24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Réseau Serveurs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Samba AD, Wazuh, Zabbix</w:t>
            </w:r>
          </w:p>
        </w:tc>
      </w:tr>
      <w:tr>
        <w:trPr>
          <w:cantSplit w:val="0"/>
          <w:trHeight w:val="521.95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10.0.50.0/28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Stockage / Backup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Truenas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10.0.60.0/28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Administration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Bastion</w:t>
            </w:r>
          </w:p>
        </w:tc>
      </w:tr>
    </w:tbl>
    <w:p w:rsidR="00000000" w:rsidDel="00000000" w:rsidP="00000000" w:rsidRDefault="00000000" w:rsidRPr="00000000" w14:paraId="00000030">
      <w:pPr>
        <w:pBdr>
          <w:top w:color="000000" w:space="0" w:sz="12" w:val="single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🟩 </w:t>
      </w:r>
      <w:r w:rsidDel="00000000" w:rsidR="00000000" w:rsidRPr="00000000">
        <w:rPr>
          <w:b w:val="1"/>
          <w:bCs w:val="1"/>
          <w:rtl w:val="0"/>
        </w:rPr>
        <w:t xml:space="preserve">3. IP des services critiques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b w:val="1"/>
          <w:bCs w:val="1"/>
          <w:rtl w:val="0"/>
        </w:rPr>
        <w:t xml:space="preserve">Active Directory – Samba4</w:t>
      </w: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5"/>
        <w:gridCol w:w="3005"/>
        <w:gridCol w:w="3005"/>
        <w:tblGridChange w:id="0">
          <w:tblGrid>
            <w:gridCol w:w="3005"/>
            <w:gridCol w:w="3005"/>
            <w:gridCol w:w="300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Samba AD DC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10.0.40.2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AD DS + DNS + Kerberos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DNS secondaire (optionnel)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10.0.40.x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si second DC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DNS principal pour tout : </w:t>
      </w:r>
      <w:r w:rsidDel="00000000" w:rsidR="00000000" w:rsidRPr="00000000">
        <w:rPr>
          <w:b w:val="1"/>
          <w:bCs w:val="1"/>
          <w:rtl w:val="0"/>
        </w:rPr>
        <w:t xml:space="preserve">10.0.40.2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000000" w:space="0" w:sz="12" w:val="single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🚪 </w:t>
      </w:r>
      <w:r w:rsidDel="00000000" w:rsidR="00000000" w:rsidRPr="00000000">
        <w:rPr>
          <w:b w:val="1"/>
          <w:bCs w:val="1"/>
          <w:rtl w:val="0"/>
        </w:rPr>
        <w:t xml:space="preserve">Firewall / OPNsense</w:t>
      </w: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5"/>
        <w:gridCol w:w="3005"/>
        <w:gridCol w:w="3005"/>
        <w:tblGridChange w:id="0">
          <w:tblGrid>
            <w:gridCol w:w="3005"/>
            <w:gridCol w:w="3005"/>
            <w:gridCol w:w="300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MGMT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10.10.0.1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Accès admin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LAN Genève (VLAN 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10.0.10.1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DHCP Genève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DMZ (VLAN 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10.0.20.1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Firewall DMZ</w:t>
            </w:r>
          </w:p>
        </w:tc>
      </w:tr>
      <w:tr>
        <w:trPr>
          <w:cantSplit w:val="0"/>
          <w:trHeight w:val="245.97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Wi-Fi Guest (VLAN 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10.0.30.1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Internet limité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Serveurs (VLAN 40)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10.0.40.0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Transit Serveurs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Stockage (VLAN 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10.0.50.0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Transit Serveurs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Administration (VLAN 60)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10.0.60.0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Bastion</w:t>
            </w:r>
          </w:p>
        </w:tc>
      </w:tr>
    </w:tbl>
    <w:p w:rsidR="00000000" w:rsidDel="00000000" w:rsidP="00000000" w:rsidRDefault="00000000" w:rsidRPr="00000000" w14:paraId="00000057">
      <w:pPr>
        <w:pBdr>
          <w:top w:color="000000" w:space="0" w:sz="12" w:val="single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🗄️ </w:t>
      </w:r>
      <w:r w:rsidDel="00000000" w:rsidR="00000000" w:rsidRPr="00000000">
        <w:rPr>
          <w:b w:val="1"/>
          <w:bCs w:val="1"/>
          <w:rtl w:val="0"/>
        </w:rPr>
        <w:t xml:space="preserve">TrueNAS – stockage</w:t>
      </w: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5"/>
        <w:gridCol w:w="3005"/>
        <w:gridCol w:w="3005"/>
        <w:tblGridChange w:id="0">
          <w:tblGrid>
            <w:gridCol w:w="3005"/>
            <w:gridCol w:w="3005"/>
            <w:gridCol w:w="300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TrueNAS front-end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10.0.50.2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</w:tr>
      <w:tr>
        <w:trPr>
          <w:cantSplit w:val="0"/>
          <w:trHeight w:val="290.97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SMB / partages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10.0.50.x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Joint au domaine Samba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NFS/iSCSI pour Proxmox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10.0.50.x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Option séparation stockage</w:t>
            </w:r>
          </w:p>
        </w:tc>
      </w:tr>
    </w:tbl>
    <w:p w:rsidR="00000000" w:rsidDel="00000000" w:rsidP="00000000" w:rsidRDefault="00000000" w:rsidRPr="00000000" w14:paraId="00000065">
      <w:pPr>
        <w:pBdr>
          <w:top w:color="000000" w:space="0" w:sz="12" w:val="single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🟫 </w:t>
      </w:r>
      <w:r w:rsidDel="00000000" w:rsidR="00000000" w:rsidRPr="00000000">
        <w:rPr>
          <w:b w:val="1"/>
          <w:bCs w:val="1"/>
          <w:rtl w:val="0"/>
        </w:rPr>
        <w:t xml:space="preserve">4. Serveurs Proxmox internes</w:t>
      </w:r>
      <w:r w:rsidDel="00000000" w:rsidR="00000000" w:rsidRPr="00000000">
        <w:rPr>
          <w:rtl w:val="0"/>
        </w:rPr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2254"/>
        <w:gridCol w:w="2254"/>
        <w:gridCol w:w="2254"/>
        <w:tblGridChange w:id="0">
          <w:tblGrid>
            <w:gridCol w:w="2254"/>
            <w:gridCol w:w="2254"/>
            <w:gridCol w:w="2254"/>
            <w:gridCol w:w="225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VLAN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Samba 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10.0.40.2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Domaine CYNA.LOCAL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Wazuh Manager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10.0.40.3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SOC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Ansible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10.0.40.4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Déploiement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Zabbix Server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Monitoring central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Linux Server (Docker)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SaaS, API, containers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Reverse Proxy (DMZ)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Entrée publique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k3s Master (facultatif)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Kubernetes léger</w:t>
            </w:r>
          </w:p>
        </w:tc>
      </w:tr>
    </w:tbl>
    <w:p w:rsidR="00000000" w:rsidDel="00000000" w:rsidP="00000000" w:rsidRDefault="00000000" w:rsidRPr="00000000" w14:paraId="00000087">
      <w:pPr>
        <w:pBdr>
          <w:top w:color="000000" w:space="0" w:sz="12" w:val="single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🖥️ </w:t>
      </w:r>
      <w:r w:rsidDel="00000000" w:rsidR="00000000" w:rsidRPr="00000000">
        <w:rPr>
          <w:b w:val="1"/>
          <w:bCs w:val="1"/>
          <w:rtl w:val="0"/>
        </w:rPr>
        <w:t xml:space="preserve">5. Postes Clients</w:t>
      </w:r>
      <w:r w:rsidDel="00000000" w:rsidR="00000000" w:rsidRPr="00000000">
        <w:rPr>
          <w:rtl w:val="0"/>
        </w:rPr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2254"/>
        <w:gridCol w:w="2254"/>
        <w:gridCol w:w="2254"/>
        <w:tblGridChange w:id="0">
          <w:tblGrid>
            <w:gridCol w:w="2254"/>
            <w:gridCol w:w="2254"/>
            <w:gridCol w:w="2254"/>
            <w:gridCol w:w="225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Poste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VLAN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Client Windows Genève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10.0.10.100 - 10.0.10.200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AD + GPO + EDR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Client Windows Paris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AD + GPO</w:t>
            </w:r>
          </w:p>
        </w:tc>
      </w:tr>
    </w:tbl>
    <w:p w:rsidR="00000000" w:rsidDel="00000000" w:rsidP="00000000" w:rsidRDefault="00000000" w:rsidRPr="00000000" w14:paraId="00000095">
      <w:pPr>
        <w:pBdr>
          <w:top w:color="000000" w:space="0" w:sz="12" w:val="single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bCs w:val="1"/>
          <w:rtl w:val="0"/>
        </w:rPr>
        <w:t xml:space="preserve">6. Tunnel VPN / SD‑WAN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sdt>
        <w:sdtPr>
          <w:id w:val="199826369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Pour simuler Genève ↔ Paris :</w:t>
          </w:r>
        </w:sdtContent>
      </w:sdt>
    </w:p>
    <w:tbl>
      <w:tblPr>
        <w:tblStyle w:val="Table8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5"/>
        <w:gridCol w:w="3005"/>
        <w:gridCol w:w="3005"/>
        <w:tblGridChange w:id="0">
          <w:tblGrid>
            <w:gridCol w:w="3005"/>
            <w:gridCol w:w="3005"/>
            <w:gridCol w:w="300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Élément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Tunnel VPN côté Genève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10.100.0.1/32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WG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Tunnel VPN côté Paris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10.100.0.2/32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WG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Tu pourras superviser le tunnel avec Zabbix.</w:t>
      </w:r>
    </w:p>
    <w:p w:rsidR="00000000" w:rsidDel="00000000" w:rsidP="00000000" w:rsidRDefault="00000000" w:rsidRPr="00000000" w14:paraId="000000A2">
      <w:pPr>
        <w:pBdr>
          <w:top w:color="000000" w:space="0" w:sz="12" w:val="single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tl w:val="0"/>
        </w:rPr>
        <w:t xml:space="preserve">🔥 Résumé visuel (simplifié)</w:t>
      </w:r>
    </w:p>
    <w:tbl>
      <w:tblPr>
        <w:tblStyle w:val="Table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color w:val="707070"/>
                <w:rtl w:val="0"/>
              </w:rPr>
              <w:t xml:space="preserve">1    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VLAN 10 (Genève)     10.10.0.0/24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color w:val="707070"/>
                <w:rtl w:val="0"/>
              </w:rPr>
              <w:t xml:space="preserve">2    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VLAN 20 (DMZ)        10.0.20.0/24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color w:val="707070"/>
                <w:rtl w:val="0"/>
              </w:rPr>
              <w:t xml:space="preserve">3    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VLAN 30 (Invités)    10.0.30.0/24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color w:val="707070"/>
                <w:rtl w:val="0"/>
              </w:rPr>
              <w:t xml:space="preserve">4    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VLAN 40 (Serveurs)    10.0.40.0/24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color w:val="707070"/>
                <w:rtl w:val="0"/>
              </w:rPr>
              <w:t xml:space="preserve">5    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VLAN 50 (Stockage)   10.0.50.0/28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color w:val="707070"/>
                <w:rtl w:val="0"/>
              </w:rPr>
              <w:t xml:space="preserve">6    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VLAN 60 (Administration)   10.0.60.0/28</w:t>
            </w:r>
            <w:r w:rsidDel="00000000" w:rsidR="00000000" w:rsidRPr="00000000">
              <w:rPr>
                <w:color w:val="707070"/>
                <w:rtl w:val="0"/>
              </w:rPr>
              <w:t xml:space="preserve">7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color w:val="707070"/>
                <w:rtl w:val="0"/>
              </w:rPr>
              <w:t xml:space="preserve">8    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┌──────────────┐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color w:val="707070"/>
                <w:rtl w:val="0"/>
              </w:rPr>
              <w:t xml:space="preserve">9    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│   OPNsense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color w:val="707070"/>
                <w:rtl w:val="0"/>
              </w:rPr>
              <w:t xml:space="preserve">10    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│ 10.x.x.1/24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color w:val="707070"/>
                <w:rtl w:val="0"/>
              </w:rPr>
              <w:t xml:space="preserve">11    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└──────┬───────┘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color w:val="707070"/>
                <w:rtl w:val="0"/>
              </w:rPr>
              <w:t xml:space="preserve">12    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color w:val="707070"/>
                <w:rtl w:val="0"/>
              </w:rPr>
              <w:t xml:space="preserve">13    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┌────────┴──────────┐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color w:val="707070"/>
                <w:rtl w:val="0"/>
              </w:rPr>
              <w:t xml:space="preserve">14    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│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color w:val="707070"/>
                <w:rtl w:val="0"/>
              </w:rPr>
              <w:t xml:space="preserve">15    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Serveurs             Stockage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color w:val="707070"/>
                <w:rtl w:val="0"/>
              </w:rPr>
              <w:t xml:space="preserve">16    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10.40.0.x/24        10.50.0.x/24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Bdr>
          <w:top w:color="000000" w:space="0" w:sz="12" w:val="single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Tint="0000A6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72727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0f476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cstheme="majorBidi" w:eastAsiaTheme="majorEastAsia"/>
      <w:color w:val="0f476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 w:eastAsiaTheme="majorEastAsia"/>
      <w:i w:val="1"/>
      <w:iCs w:val="1"/>
      <w:color w:val="0f4761" w:themeShade="0000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 w:eastAsiaTheme="majorEastAsia"/>
      <w:color w:val="0f4761" w:themeShade="0000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 w:eastAsiaTheme="majorEastAsia"/>
      <w:i w:val="1"/>
      <w:iCs w:val="1"/>
      <w:color w:val="595959" w:themeTint="0000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 w:eastAsiaTheme="majorEastAsia"/>
      <w:color w:val="595959" w:themeTint="0000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 w:eastAsiaTheme="majorEastAsia"/>
      <w:i w:val="1"/>
      <w:iCs w:val="1"/>
      <w:color w:val="272727" w:themeTint="0000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cstheme="majorBidi" w:eastAsiaTheme="majorEastAsia"/>
      <w:color w:val="272727" w:themeTint="0000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Tint="0000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 w:themeShade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Tint="0000BF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themeShade="0000BF" w:val="single"/>
        <w:bottom w:color="0f4761" w:space="10" w:sz="4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Shade="0000BF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 w:themeShade="0000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.0" w:type="dxa"/>
      <w:tblBorders>
        <w:top w:color="9cc2e5" w:space="0" w:sz="4" w:themeTint="000099" w:val="single"/>
        <w:left w:color="9cc2e5" w:space="0" w:sz="4" w:themeTint="000099" w:val="single"/>
        <w:bottom w:color="9cc2e5" w:space="0" w:sz="4" w:themeTint="000099" w:val="single"/>
        <w:right w:color="9cc2e5" w:space="0" w:sz="4" w:themeTint="000099" w:val="single"/>
        <w:insideH w:color="9cc2e5" w:space="0" w:sz="4" w:themeTint="000099" w:val="single"/>
        <w:insideV w:color="9cc2e5" w:space="0" w:sz="4" w:themeTint="000099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blPr/>
      <w:tcPr>
        <w:tc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Code">
    <w:name w:val="Code"/>
    <w:basedOn w:val="Normal"/>
    <w:next w:val="Normal"/>
    <w:link w:val="QuoteChar"/>
    <w:uiPriority w:val="35"/>
    <w:qFormat w:val="1"/>
    <w:pPr>
      <w:spacing w:before="160"/>
      <w:contextualSpacing w:val="1"/>
      <w:jc w:val="left"/>
    </w:pPr>
    <w:rPr>
      <w:i w:val="1"/>
      <w:iCs w:val="1"/>
      <w:color w:val="404040" w:themeTint="0000BF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C17A41"/>
    <w:rPr>
      <w:vertAlign w:val="superscript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eeaf6" w:val="clear"/>
      </w:tcPr>
    </w:tblStylePr>
    <w:tblStylePr w:type="band1Vert">
      <w:tcPr>
        <w:shd w:fill="deeaf6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5b9bd5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eeaf6" w:val="clear"/>
      </w:tcPr>
    </w:tblStylePr>
    <w:tblStylePr w:type="band1Vert">
      <w:tcPr>
        <w:shd w:fill="deeaf6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5b9bd5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eeaf6" w:val="clear"/>
      </w:tcPr>
    </w:tblStylePr>
    <w:tblStylePr w:type="band1Vert">
      <w:tcPr>
        <w:shd w:fill="deeaf6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5b9bd5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eeaf6" w:val="clear"/>
      </w:tcPr>
    </w:tblStylePr>
    <w:tblStylePr w:type="band1Vert">
      <w:tcPr>
        <w:shd w:fill="deeaf6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5b9bd5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eeaf6" w:val="clear"/>
      </w:tcPr>
    </w:tblStylePr>
    <w:tblStylePr w:type="band1Vert">
      <w:tcPr>
        <w:shd w:fill="deeaf6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5b9bd5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eeaf6" w:val="clear"/>
      </w:tcPr>
    </w:tblStylePr>
    <w:tblStylePr w:type="band1Vert">
      <w:tcPr>
        <w:shd w:fill="deeaf6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5b9bd5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eeaf6" w:val="clear"/>
      </w:tcPr>
    </w:tblStylePr>
    <w:tblStylePr w:type="band1Vert">
      <w:tcPr>
        <w:shd w:fill="deeaf6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5b9bd5" w:space="0" w:sz="4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eeaf6" w:val="clear"/>
      </w:tcPr>
    </w:tblStylePr>
    <w:tblStylePr w:type="band1Vert">
      <w:tcPr>
        <w:shd w:fill="deeaf6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5b9bd5" w:space="0" w:sz="4" w:val="single"/>
        </w:tcBorders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kiulOPkzidVuxQhUo5P0KNNZkg==">CgMxLjAaEgoBMBINCgsIB0IHEgVDYXJkbzgAciExaWNDLVdpUmctaUpMd0xab0g5Z2FXVHBSUlpncENoQUQ=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2026-03-19T18:39:13.051Z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