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t>智慧海洋台风路径可视化系统 5分钟汇报大纲</w:t>
      </w:r>
    </w:p>
    <w:p>
      <w:pPr>
        <w:spacing w:after="240"/>
      </w:pPr>
      <w:r>
        <w:t>本大纲与 5 分钟精简版 PPT 一一对应，只保留项目亮点和演示节奏，用于现场汇报与讲稿准备。</w:t>
      </w:r>
    </w:p>
    <w:p>
      <w:pPr>
        <w:pStyle w:val="Heading1"/>
        <w:spacing w:before="200" w:after="80"/>
      </w:pPr>
      <w:r>
        <w:t>幻灯片1 封面页</w:t>
      </w:r>
    </w:p>
    <w:p>
      <w:pPr>
        <w:pStyle w:val="ListBullet"/>
        <w:spacing w:after="40"/>
      </w:pPr>
      <w:r>
        <w:t>主标题：台风风场订正算法与可视化系统融合应用</w:t>
      </w:r>
    </w:p>
    <w:p>
      <w:pPr>
        <w:pStyle w:val="ListBullet"/>
        <w:spacing w:after="40"/>
      </w:pPr>
      <w:r>
        <w:t>副标题：基于 WRF 数值模式与台风订正算法的交互式台风监测预警平台</w:t>
      </w:r>
    </w:p>
    <w:p>
      <w:pPr>
        <w:pStyle w:val="ListBullet"/>
        <w:spacing w:after="40"/>
      </w:pPr>
      <w:r>
        <w:t>预留汇报人与汇报日期；展示线上演示地址 http://43.154.210.202:8899</w:t>
      </w:r>
    </w:p>
    <w:p>
      <w:pPr>
        <w:pStyle w:val="Heading1"/>
        <w:spacing w:before="200" w:after="80"/>
      </w:pPr>
      <w:r>
        <w:t>幻灯片2 一页看懂项目</w:t>
      </w:r>
    </w:p>
    <w:p>
      <w:pPr>
        <w:pStyle w:val="ListBullet"/>
        <w:spacing w:after="40"/>
      </w:pPr>
      <w:r>
        <w:t>核心定位：WRF × 订正算法 × 交互式可视化</w:t>
      </w:r>
    </w:p>
    <w:p>
      <w:pPr>
        <w:pStyle w:val="ListBullet"/>
        <w:spacing w:after="40"/>
      </w:pPr>
      <w:r>
        <w:t>关键规模：3 个台风个例、264 个逐时风场、26 个湾区重点目标、7 条远洋航线</w:t>
      </w:r>
    </w:p>
    <w:p>
      <w:pPr>
        <w:pStyle w:val="ListBullet"/>
        <w:spacing w:after="40"/>
      </w:pPr>
      <w:r>
        <w:t>使用方式：浏览器即开即用，全生命周期动态演示</w:t>
      </w:r>
    </w:p>
    <w:p>
      <w:pPr>
        <w:pStyle w:val="Heading1"/>
        <w:spacing w:before="200" w:after="80"/>
      </w:pPr>
      <w:r>
        <w:t>幻灯片3 台风全生命周期可视化</w:t>
      </w:r>
    </w:p>
    <w:p>
      <w:pPr>
        <w:pStyle w:val="ListBullet"/>
        <w:spacing w:after="40"/>
      </w:pPr>
      <w:r>
        <w:t>展示全生命周期路径、逐时风场动画与风眼自动跟随</w:t>
      </w:r>
    </w:p>
    <w:p>
      <w:pPr>
        <w:pStyle w:val="ListBullet"/>
        <w:spacing w:after="40"/>
      </w:pPr>
      <w:r>
        <w:t>用动画说明台风生成、登陆、巅峰到消散的连续演变</w:t>
      </w:r>
    </w:p>
    <w:p>
      <w:pPr>
        <w:pStyle w:val="Heading1"/>
        <w:spacing w:before="200" w:after="80"/>
      </w:pPr>
      <w:r>
        <w:t>幻灯片4 原场 / 订正场一键对比</w:t>
      </w:r>
    </w:p>
    <w:p>
      <w:pPr>
        <w:pStyle w:val="ListBullet"/>
        <w:spacing w:after="40"/>
      </w:pPr>
      <w:r>
        <w:t>核心成果：原场与订正场一键切换，同格式同构加载</w:t>
      </w:r>
    </w:p>
    <w:p>
      <w:pPr>
        <w:pStyle w:val="ListBullet"/>
        <w:spacing w:after="40"/>
      </w:pPr>
      <w:r>
        <w:t>差值着色直观呈现订正改了哪里、改了多少</w:t>
      </w:r>
    </w:p>
    <w:p>
      <w:pPr>
        <w:pStyle w:val="Heading1"/>
        <w:spacing w:before="200" w:after="80"/>
      </w:pPr>
      <w:r>
        <w:t>幻灯片5 六维雷达 + 重点目标风险</w:t>
      </w:r>
    </w:p>
    <w:p>
      <w:pPr>
        <w:pStyle w:val="ListBullet"/>
        <w:spacing w:after="40"/>
      </w:pPr>
      <w:r>
        <w:t>点击任意点生成风速、风浪、大风时长、台风中心、路径逼近、设施暴露六维预警</w:t>
      </w:r>
    </w:p>
    <w:p>
      <w:pPr>
        <w:pStyle w:val="ListBullet"/>
        <w:spacing w:after="40"/>
      </w:pPr>
      <w:r>
        <w:t>同步展示 26 个湾区重点目标与 7 条远洋航线的风险分级</w:t>
      </w:r>
    </w:p>
    <w:p>
      <w:pPr>
        <w:pStyle w:val="Heading1"/>
        <w:spacing w:before="200" w:after="80"/>
      </w:pPr>
      <w:r>
        <w:t>幻灯片6 价值与推广</w:t>
      </w:r>
    </w:p>
    <w:p>
      <w:pPr>
        <w:pStyle w:val="ListBullet"/>
        <w:spacing w:after="40"/>
      </w:pPr>
      <w:r>
        <w:t>四项价值：看得见、说得清、用得上、可复制</w:t>
      </w:r>
    </w:p>
    <w:p>
      <w:pPr>
        <w:pStyle w:val="ListBullet"/>
        <w:spacing w:after="40"/>
      </w:pPr>
      <w:r>
        <w:t>推广方向：同一框架可延伸到风暴潮、浪高等海洋要素订正产品</w:t>
      </w:r>
    </w:p>
    <w:p>
      <w:pPr>
        <w:pStyle w:val="ListBullet"/>
        <w:spacing w:after="40"/>
      </w:pPr>
      <w:r>
        <w:t>收尾：感谢聆听并引导专家查看线上演示</w:t>
      </w:r>
    </w:p>
    <w:p/>
    <w:p>
      <w:pPr>
        <w:pStyle w:val="Heading1"/>
      </w:pPr>
      <w:r>
        <w:t>5 分钟节奏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幻灯片</w:t>
            </w:r>
          </w:p>
        </w:tc>
        <w:tc>
          <w:tcPr>
            <w:tcW w:type="dxa" w:w="3216"/>
          </w:tcPr>
          <w:p>
            <w:r>
              <w:rPr>
                <w:b/>
              </w:rPr>
              <w:t>建议时长</w:t>
            </w:r>
          </w:p>
        </w:tc>
        <w:tc>
          <w:tcPr>
            <w:tcW w:type="dxa" w:w="3216"/>
          </w:tcPr>
          <w:p>
            <w:r>
              <w:rPr>
                <w:b/>
              </w:rPr>
              <w:t>讲法</w:t>
            </w:r>
          </w:p>
        </w:tc>
      </w:tr>
      <w:tr>
        <w:tc>
          <w:tcPr>
            <w:tcW w:type="dxa" w:w="3216"/>
          </w:tcPr>
          <w:p>
            <w:r>
              <w:t>幻灯片1</w:t>
            </w:r>
          </w:p>
        </w:tc>
        <w:tc>
          <w:tcPr>
            <w:tcW w:type="dxa" w:w="3216"/>
          </w:tcPr>
          <w:p>
            <w:r>
              <w:t>30 秒</w:t>
            </w:r>
          </w:p>
        </w:tc>
        <w:tc>
          <w:tcPr>
            <w:tcW w:type="dxa" w:w="3216"/>
          </w:tcPr>
          <w:p>
            <w:r>
              <w:t>开场定位</w:t>
            </w:r>
          </w:p>
        </w:tc>
      </w:tr>
      <w:tr>
        <w:tc>
          <w:tcPr>
            <w:tcW w:type="dxa" w:w="3216"/>
          </w:tcPr>
          <w:p>
            <w:r>
              <w:t>幻灯片2</w:t>
            </w:r>
          </w:p>
        </w:tc>
        <w:tc>
          <w:tcPr>
            <w:tcW w:type="dxa" w:w="3216"/>
          </w:tcPr>
          <w:p>
            <w:r>
              <w:t>60 秒</w:t>
            </w:r>
          </w:p>
        </w:tc>
        <w:tc>
          <w:tcPr>
            <w:tcW w:type="dxa" w:w="3216"/>
          </w:tcPr>
          <w:p>
            <w:r>
              <w:t>数字与核心定位</w:t>
            </w:r>
          </w:p>
        </w:tc>
      </w:tr>
      <w:tr>
        <w:tc>
          <w:tcPr>
            <w:tcW w:type="dxa" w:w="3216"/>
          </w:tcPr>
          <w:p>
            <w:r>
              <w:t>幻灯片3</w:t>
            </w:r>
          </w:p>
        </w:tc>
        <w:tc>
          <w:tcPr>
            <w:tcW w:type="dxa" w:w="3216"/>
          </w:tcPr>
          <w:p>
            <w:r>
              <w:t>60 秒</w:t>
            </w:r>
          </w:p>
        </w:tc>
        <w:tc>
          <w:tcPr>
            <w:tcW w:type="dxa" w:w="3216"/>
          </w:tcPr>
          <w:p>
            <w:r>
              <w:t>全生命周期动画</w:t>
            </w:r>
          </w:p>
        </w:tc>
      </w:tr>
      <w:tr>
        <w:tc>
          <w:tcPr>
            <w:tcW w:type="dxa" w:w="3216"/>
          </w:tcPr>
          <w:p>
            <w:r>
              <w:t>幻灯片4</w:t>
            </w:r>
          </w:p>
        </w:tc>
        <w:tc>
          <w:tcPr>
            <w:tcW w:type="dxa" w:w="3216"/>
          </w:tcPr>
          <w:p>
            <w:r>
              <w:t>90 秒</w:t>
            </w:r>
          </w:p>
        </w:tc>
        <w:tc>
          <w:tcPr>
            <w:tcW w:type="dxa" w:w="3216"/>
          </w:tcPr>
          <w:p>
            <w:r>
              <w:t>原场 / 订正场对比</w:t>
            </w:r>
          </w:p>
        </w:tc>
      </w:tr>
      <w:tr>
        <w:tc>
          <w:tcPr>
            <w:tcW w:type="dxa" w:w="3216"/>
          </w:tcPr>
          <w:p>
            <w:r>
              <w:t>幻灯片5</w:t>
            </w:r>
          </w:p>
        </w:tc>
        <w:tc>
          <w:tcPr>
            <w:tcW w:type="dxa" w:w="3216"/>
          </w:tcPr>
          <w:p>
            <w:r>
              <w:t>60 秒</w:t>
            </w:r>
          </w:p>
        </w:tc>
        <w:tc>
          <w:tcPr>
            <w:tcW w:type="dxa" w:w="3216"/>
          </w:tcPr>
          <w:p>
            <w:r>
              <w:t>单点雷达与目标风险</w:t>
            </w:r>
          </w:p>
        </w:tc>
      </w:tr>
      <w:tr>
        <w:tc>
          <w:tcPr>
            <w:tcW w:type="dxa" w:w="3216"/>
          </w:tcPr>
          <w:p>
            <w:r>
              <w:t>幻灯片6</w:t>
            </w:r>
          </w:p>
        </w:tc>
        <w:tc>
          <w:tcPr>
            <w:tcW w:type="dxa" w:w="3216"/>
          </w:tcPr>
          <w:p>
            <w:r>
              <w:t>30 秒</w:t>
            </w:r>
          </w:p>
        </w:tc>
        <w:tc>
          <w:tcPr>
            <w:tcW w:type="dxa" w:w="3216"/>
          </w:tcPr>
          <w:p>
            <w:r>
              <w:t>价值收尾</w:t>
            </w:r>
          </w:p>
        </w:tc>
      </w:tr>
    </w:tbl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