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智慧海洋台风路径可视化系统 10页汇报大纲</w:t>
      </w:r>
    </w:p>
    <w:p>
      <w:pPr>
        <w:spacing w:after="240"/>
      </w:pPr>
      <w:r>
        <w:t>本大纲为约 10 页版本，含逐字稿。订正算法相关内容暂用【 】占位符，待补充后可直接替换。整体节奏建议 8–10 分钟；如需 5 分钟，可压缩至每页 20–30 秒。</w:t>
      </w:r>
    </w:p>
    <w:p>
      <w:pPr>
        <w:pStyle w:val="Heading1"/>
        <w:spacing w:before="200" w:after="80"/>
      </w:pPr>
      <w:r>
        <w:t>幻灯片1 封面页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主标题：台风风场订正算法与可视化系统融合应用</w:t>
      </w:r>
    </w:p>
    <w:p>
      <w:pPr>
        <w:pStyle w:val="ListBullet"/>
        <w:spacing w:after="40"/>
      </w:pPr>
      <w:r>
        <w:t>副标题：基于 WRF 数值模式与台风订正算法的交互式台风监测预警平台</w:t>
      </w:r>
    </w:p>
    <w:p>
      <w:pPr>
        <w:pStyle w:val="ListBullet"/>
        <w:spacing w:after="40"/>
      </w:pPr>
      <w:r>
        <w:t>预留汇报人与汇报日期；线上演示地址：http://43.154.210.202:8899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各位专家好，今天汇报的题目是台风风场订正算法与可视化系统融合应用。</w:t>
      </w:r>
    </w:p>
    <w:p>
      <w:pPr>
        <w:spacing w:after="40"/>
        <w:ind w:left="216"/>
      </w:pPr>
      <w:r>
        <w:t>我们想把数值模式和订正算法的成果，变成一个能直接在地图上看、能交互演示的业务平台。系统已在线，打开网址即可进入。</w:t>
      </w:r>
    </w:p>
    <w:p>
      <w:pPr>
        <w:pStyle w:val="Heading1"/>
        <w:spacing w:before="200" w:after="80"/>
      </w:pPr>
      <w:r>
        <w:t>幻灯片2 项目背景与问题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台风灾害威胁突出，传统产品以图文报表为主，难以快速看清变化</w:t>
      </w:r>
    </w:p>
    <w:p>
      <w:pPr>
        <w:pStyle w:val="ListBullet"/>
        <w:spacing w:after="40"/>
      </w:pPr>
      <w:r>
        <w:t>WRF 原始风场在台风核心区存在偏差，直接使用影响预警判断</w:t>
      </w:r>
    </w:p>
    <w:p>
      <w:pPr>
        <w:pStyle w:val="ListBullet"/>
        <w:spacing w:after="40"/>
      </w:pPr>
      <w:r>
        <w:t>订正算法成果若只停留在论文和统计表，业务上难以落地</w:t>
      </w:r>
    </w:p>
    <w:p>
      <w:pPr>
        <w:pStyle w:val="ListBullet"/>
        <w:spacing w:after="40"/>
      </w:pPr>
      <w:r>
        <w:t>需要“看得见、可交互、可检验”的决策支持工具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先说背景。台风灾害的威胁集中在沿海和湾区，但传统产品常常是一张静态图或一份表格，看不出连续演变。</w:t>
      </w:r>
    </w:p>
    <w:p>
      <w:pPr>
        <w:spacing w:after="40"/>
        <w:ind w:left="216"/>
      </w:pPr>
      <w:r>
        <w:t>更关键的是，原始风场在台风核心区还有偏差。我们把订正算法和可视化系统结合起来，就是为了让研究成果能真正用起来。</w:t>
      </w:r>
    </w:p>
    <w:p>
      <w:pPr>
        <w:pStyle w:val="Heading1"/>
        <w:spacing w:before="200" w:after="80"/>
      </w:pPr>
      <w:r>
        <w:t>幻灯片3 系统定位与数据规模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核心定位：WRF × 订正算法 × 交互式可视化</w:t>
      </w:r>
    </w:p>
    <w:p>
      <w:pPr>
        <w:pStyle w:val="ListBullet"/>
        <w:spacing w:after="40"/>
      </w:pPr>
      <w:r>
        <w:t>数据规模：3 个台风个例、264 个逐时风场</w:t>
      </w:r>
    </w:p>
    <w:p>
      <w:pPr>
        <w:pStyle w:val="ListBullet"/>
        <w:spacing w:after="40"/>
      </w:pPr>
      <w:r>
        <w:t>业务对象：26 个湾区重点目标、7 条远洋航线</w:t>
      </w:r>
    </w:p>
    <w:p>
      <w:pPr>
        <w:pStyle w:val="ListBullet"/>
        <w:spacing w:after="40"/>
      </w:pPr>
      <w:r>
        <w:t>使用方式：浏览器即开即用，无需安装客户端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这套系统的定位很明确，就是把 WRF、订正算法和交互式可视化三件事串在一起。</w:t>
      </w:r>
    </w:p>
    <w:p>
      <w:pPr>
        <w:spacing w:after="40"/>
        <w:ind w:left="216"/>
      </w:pPr>
      <w:r>
        <w:t>目前已接入 3 个台风个例、264 个逐时风场，能覆盖 26 个湾区重点目标和 7 条远洋航线。打开网址即可使用，不需要装任何客户端。</w:t>
      </w:r>
    </w:p>
    <w:p>
      <w:pPr>
        <w:pStyle w:val="Heading1"/>
        <w:spacing w:before="200" w:after="80"/>
      </w:pPr>
      <w:r>
        <w:t>幻灯片4 技术路线：算法与可视化融合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数据层：WRF 原场与订正场同格式、同结构接入</w:t>
      </w:r>
    </w:p>
    <w:p>
      <w:pPr>
        <w:pStyle w:val="ListBullet"/>
        <w:spacing w:after="40"/>
      </w:pPr>
      <w:r>
        <w:t>算法层：【订正算法核心机理：请补充】</w:t>
      </w:r>
    </w:p>
    <w:p>
      <w:pPr>
        <w:pStyle w:val="ListBullet"/>
        <w:spacing w:after="40"/>
      </w:pPr>
      <w:r>
        <w:t>展示层：一键切换、差值着色、单点对比</w:t>
      </w:r>
    </w:p>
    <w:p>
      <w:pPr>
        <w:pStyle w:val="ListBullet"/>
        <w:spacing w:after="40"/>
      </w:pPr>
      <w:r>
        <w:t>业务层：把算法结果变成可演示、可检验的产品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从技术路线看，系统不是把算法和地图简单叠在一起，而是在数据层、算法层、展示层三层打通。</w:t>
      </w:r>
    </w:p>
    <w:p>
      <w:pPr>
        <w:spacing w:after="40"/>
        <w:ind w:left="216"/>
      </w:pPr>
      <w:r>
        <w:t>订正算法的核心机理这里先留一个占位，后续我们再补充完整。但无论算法细节如何，系统已经能做到同格式接入、一键切换和地图直读。</w:t>
      </w:r>
    </w:p>
    <w:p>
      <w:pPr>
        <w:pStyle w:val="Heading1"/>
        <w:spacing w:before="200" w:after="80"/>
      </w:pPr>
      <w:r>
        <w:t>幻灯片5 核心成果1：原场 / 订正场一键对比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原场与订正场同格式同构，支持一键切换</w:t>
      </w:r>
    </w:p>
    <w:p>
      <w:pPr>
        <w:pStyle w:val="ListBullet"/>
        <w:spacing w:after="40"/>
      </w:pPr>
      <w:r>
        <w:t>差值着色直观展示“改了哪里、改了多少”</w:t>
      </w:r>
    </w:p>
    <w:p>
      <w:pPr>
        <w:pStyle w:val="ListBullet"/>
        <w:spacing w:after="40"/>
      </w:pPr>
      <w:r>
        <w:t>支持差值放大，便于观察细微订正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第一个核心成果是原场和订正场的一键对比。用户不用再看两份数据，只要切换一下，就能看到订正后风场的变化。</w:t>
      </w:r>
    </w:p>
    <w:p>
      <w:pPr>
        <w:spacing w:after="40"/>
        <w:ind w:left="216"/>
      </w:pPr>
      <w:r>
        <w:t>差值着色后，哪里调大了、哪里调小了，在地图上直接看得见。如果有需要，还可以把差值放大，观察细微变化。</w:t>
      </w:r>
    </w:p>
    <w:p>
      <w:pPr>
        <w:pStyle w:val="Heading1"/>
        <w:spacing w:before="200" w:after="80"/>
      </w:pPr>
      <w:r>
        <w:t>幻灯片6 核心成果2：台风全生命周期可视化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展示生成、登陆、巅峰、消散全生命周期路径</w:t>
      </w:r>
    </w:p>
    <w:p>
      <w:pPr>
        <w:pStyle w:val="ListBullet"/>
        <w:spacing w:after="40"/>
      </w:pPr>
      <w:r>
        <w:t>逐时风场动画与风眼自动跟随</w:t>
      </w:r>
    </w:p>
    <w:p>
      <w:pPr>
        <w:pStyle w:val="ListBullet"/>
        <w:spacing w:after="40"/>
      </w:pPr>
      <w:r>
        <w:t>可结合时间轴观察强度和范围变化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第二个成果是台风全生命周期的可视化。</w:t>
      </w:r>
    </w:p>
    <w:p>
      <w:pPr>
        <w:spacing w:after="40"/>
        <w:ind w:left="216"/>
      </w:pPr>
      <w:r>
        <w:t>从生成到登陆、巅峰再到消散，系统用连续路径和逐时风场动画呈现出来。风眼可以自动跟随，时间轴也能用来回看关键节点。</w:t>
      </w:r>
    </w:p>
    <w:p>
      <w:pPr>
        <w:pStyle w:val="Heading1"/>
        <w:spacing w:before="200" w:after="80"/>
      </w:pPr>
      <w:r>
        <w:t>幻灯片7 核心成果3：六维雷达与风险分级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点击任意点生成六维预警雷达：风速、风浪、大风时长、台风中心、路径逼近、设施暴露</w:t>
      </w:r>
    </w:p>
    <w:p>
      <w:pPr>
        <w:pStyle w:val="ListBullet"/>
        <w:spacing w:after="40"/>
      </w:pPr>
      <w:r>
        <w:t>同步展示 26 个湾区重点目标与 7 条远洋航线的风险分级</w:t>
      </w:r>
    </w:p>
    <w:p>
      <w:pPr>
        <w:pStyle w:val="ListBullet"/>
        <w:spacing w:after="40"/>
      </w:pPr>
      <w:r>
        <w:t>让单点预警和区域影响一起看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第三个成果是六维雷达和风险分级。</w:t>
      </w:r>
    </w:p>
    <w:p>
      <w:pPr>
        <w:spacing w:after="40"/>
        <w:ind w:left="216"/>
      </w:pPr>
      <w:r>
        <w:t>点击任意点，系统会同时给出风速、风浪、大风时长、台风中心距离、路径逼近和设施暴露六个维度。对业务来说，这不只是单点信息，还能同步看 26 个重点目标和 7 条航线的风险等级。</w:t>
      </w:r>
    </w:p>
    <w:p>
      <w:pPr>
        <w:pStyle w:val="Heading1"/>
        <w:spacing w:before="200" w:after="80"/>
      </w:pPr>
      <w:r>
        <w:t>幻灯片8 核心价值：让算法成果真正可用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看得见：差值着色与地图直观呈现</w:t>
      </w:r>
    </w:p>
    <w:p>
      <w:pPr>
        <w:pStyle w:val="ListBullet"/>
        <w:spacing w:after="40"/>
      </w:pPr>
      <w:r>
        <w:t>说得清：原场、订正、差值三值同屏</w:t>
      </w:r>
    </w:p>
    <w:p>
      <w:pPr>
        <w:pStyle w:val="ListBullet"/>
        <w:spacing w:after="40"/>
      </w:pPr>
      <w:r>
        <w:t>用得上：预警结论进入业务链路</w:t>
      </w:r>
    </w:p>
    <w:p>
      <w:pPr>
        <w:pStyle w:val="ListBullet"/>
        <w:spacing w:after="40"/>
      </w:pPr>
      <w:r>
        <w:t>可复制：新台风、新方案快速接入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这套系统的价值可以概括为四句话：看得见、说得清、用得上、可复制。</w:t>
      </w:r>
    </w:p>
    <w:p>
      <w:pPr>
        <w:spacing w:after="40"/>
        <w:ind w:left="216"/>
      </w:pPr>
      <w:r>
        <w:t>我们把算法结果变成图形和地图语言，让评审能看懂，让业务能用上，也让后续新台风、新方案可以快速接入。</w:t>
      </w:r>
    </w:p>
    <w:p>
      <w:pPr>
        <w:pStyle w:val="Heading1"/>
        <w:spacing w:before="200" w:after="80"/>
      </w:pPr>
      <w:r>
        <w:t>幻灯片9 推广与展望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同一框架可延伸到风暴潮、浪高等海洋要素订正产品</w:t>
      </w:r>
    </w:p>
    <w:p>
      <w:pPr>
        <w:pStyle w:val="ListBullet"/>
        <w:spacing w:after="40"/>
      </w:pPr>
      <w:r>
        <w:t>支持更多台风个例、更多订正方案接入</w:t>
      </w:r>
    </w:p>
    <w:p>
      <w:pPr>
        <w:pStyle w:val="ListBullet"/>
        <w:spacing w:after="40"/>
      </w:pPr>
      <w:r>
        <w:t>面向业务部门提供定制化预警视图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往后看，这套框架不只适用于台风风场。</w:t>
      </w:r>
    </w:p>
    <w:p>
      <w:pPr>
        <w:spacing w:after="40"/>
        <w:ind w:left="216"/>
      </w:pPr>
      <w:r>
        <w:t>只要数据结构匹配，风暴潮、浪高这些要素也可以按同样方式接入。我们希望把它做成一个可复用的海洋要素订正与可视化平台。</w:t>
      </w:r>
    </w:p>
    <w:p>
      <w:pPr>
        <w:pStyle w:val="Heading1"/>
        <w:spacing w:before="200" w:after="80"/>
      </w:pPr>
      <w:r>
        <w:t>幻灯片10 谢谢聆听与演示入口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感谢聆听，欢迎专家指导</w:t>
      </w:r>
    </w:p>
    <w:p>
      <w:pPr>
        <w:pStyle w:val="ListBullet"/>
        <w:spacing w:after="40"/>
      </w:pPr>
      <w:r>
        <w:t>线上演示：http://43.154.210.202:8899</w:t>
      </w:r>
    </w:p>
    <w:p>
      <w:pPr>
        <w:pStyle w:val="ListBullet"/>
        <w:spacing w:after="40"/>
      </w:pPr>
      <w:r>
        <w:t>后续可现场演示或定制演示脚本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最后，感谢各位专家聆听。系统已经在线，欢迎大家直接查看。</w:t>
      </w:r>
    </w:p>
    <w:p>
      <w:pPr>
        <w:spacing w:after="40"/>
        <w:ind w:left="216"/>
      </w:pPr>
      <w:r>
        <w:t>后面我们也会根据反馈继续完善，谢谢大家。</w:t>
      </w:r>
    </w:p>
    <w:p/>
    <w:p>
      <w:pPr>
        <w:pStyle w:val="Heading1"/>
      </w:pPr>
      <w:r>
        <w:t>节奏建议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页码</w:t>
            </w:r>
          </w:p>
        </w:tc>
        <w:tc>
          <w:tcPr>
            <w:tcW w:type="dxa" w:w="4824"/>
          </w:tcPr>
          <w:p>
            <w:r>
              <w:rPr>
                <w:b/>
              </w:rPr>
              <w:t>建议时长</w:t>
            </w:r>
          </w:p>
        </w:tc>
      </w:tr>
      <w:tr>
        <w:tc>
          <w:tcPr>
            <w:tcW w:type="dxa" w:w="4824"/>
          </w:tcPr>
          <w:p>
            <w:r>
              <w:t>1 封面</w:t>
            </w:r>
          </w:p>
        </w:tc>
        <w:tc>
          <w:tcPr>
            <w:tcW w:type="dxa" w:w="4824"/>
          </w:tcPr>
          <w:p>
            <w:r>
              <w:t>30 秒</w:t>
            </w:r>
          </w:p>
        </w:tc>
      </w:tr>
      <w:tr>
        <w:tc>
          <w:tcPr>
            <w:tcW w:type="dxa" w:w="4824"/>
          </w:tcPr>
          <w:p>
            <w:r>
              <w:t>2 背景</w:t>
            </w:r>
          </w:p>
        </w:tc>
        <w:tc>
          <w:tcPr>
            <w:tcW w:type="dxa" w:w="4824"/>
          </w:tcPr>
          <w:p>
            <w:r>
              <w:t>60 秒</w:t>
            </w:r>
          </w:p>
        </w:tc>
      </w:tr>
      <w:tr>
        <w:tc>
          <w:tcPr>
            <w:tcW w:type="dxa" w:w="4824"/>
          </w:tcPr>
          <w:p>
            <w:r>
              <w:t>3 定位与规模</w:t>
            </w:r>
          </w:p>
        </w:tc>
        <w:tc>
          <w:tcPr>
            <w:tcW w:type="dxa" w:w="4824"/>
          </w:tcPr>
          <w:p>
            <w:r>
              <w:t>60 秒</w:t>
            </w:r>
          </w:p>
        </w:tc>
      </w:tr>
      <w:tr>
        <w:tc>
          <w:tcPr>
            <w:tcW w:type="dxa" w:w="4824"/>
          </w:tcPr>
          <w:p>
            <w:r>
              <w:t>4 技术路线</w:t>
            </w:r>
          </w:p>
        </w:tc>
        <w:tc>
          <w:tcPr>
            <w:tcW w:type="dxa" w:w="4824"/>
          </w:tcPr>
          <w:p>
            <w:r>
              <w:t>90 秒</w:t>
            </w:r>
          </w:p>
        </w:tc>
      </w:tr>
      <w:tr>
        <w:tc>
          <w:tcPr>
            <w:tcW w:type="dxa" w:w="4824"/>
          </w:tcPr>
          <w:p>
            <w:r>
              <w:t>5 原场/订正场对比</w:t>
            </w:r>
          </w:p>
        </w:tc>
        <w:tc>
          <w:tcPr>
            <w:tcW w:type="dxa" w:w="4824"/>
          </w:tcPr>
          <w:p>
            <w:r>
              <w:t>60 秒</w:t>
            </w:r>
          </w:p>
        </w:tc>
      </w:tr>
      <w:tr>
        <w:tc>
          <w:tcPr>
            <w:tcW w:type="dxa" w:w="4824"/>
          </w:tcPr>
          <w:p>
            <w:r>
              <w:t>6 全生命周期可视化</w:t>
            </w:r>
          </w:p>
        </w:tc>
        <w:tc>
          <w:tcPr>
            <w:tcW w:type="dxa" w:w="4824"/>
          </w:tcPr>
          <w:p>
            <w:r>
              <w:t>60 秒</w:t>
            </w:r>
          </w:p>
        </w:tc>
      </w:tr>
      <w:tr>
        <w:tc>
          <w:tcPr>
            <w:tcW w:type="dxa" w:w="4824"/>
          </w:tcPr>
          <w:p>
            <w:r>
              <w:t>7 六维雷达与风险</w:t>
            </w:r>
          </w:p>
        </w:tc>
        <w:tc>
          <w:tcPr>
            <w:tcW w:type="dxa" w:w="4824"/>
          </w:tcPr>
          <w:p>
            <w:r>
              <w:t>60 秒</w:t>
            </w:r>
          </w:p>
        </w:tc>
      </w:tr>
      <w:tr>
        <w:tc>
          <w:tcPr>
            <w:tcW w:type="dxa" w:w="4824"/>
          </w:tcPr>
          <w:p>
            <w:r>
              <w:t>8 核心价值</w:t>
            </w:r>
          </w:p>
        </w:tc>
        <w:tc>
          <w:tcPr>
            <w:tcW w:type="dxa" w:w="4824"/>
          </w:tcPr>
          <w:p>
            <w:r>
              <w:t>60 秒</w:t>
            </w:r>
          </w:p>
        </w:tc>
      </w:tr>
      <w:tr>
        <w:tc>
          <w:tcPr>
            <w:tcW w:type="dxa" w:w="4824"/>
          </w:tcPr>
          <w:p>
            <w:r>
              <w:t>9 推广与展望</w:t>
            </w:r>
          </w:p>
        </w:tc>
        <w:tc>
          <w:tcPr>
            <w:tcW w:type="dxa" w:w="4824"/>
          </w:tcPr>
          <w:p>
            <w:r>
              <w:t>60 秒</w:t>
            </w:r>
          </w:p>
        </w:tc>
      </w:tr>
      <w:tr>
        <w:tc>
          <w:tcPr>
            <w:tcW w:type="dxa" w:w="4824"/>
          </w:tcPr>
          <w:p>
            <w:r>
              <w:t>10 收尾</w:t>
            </w:r>
          </w:p>
        </w:tc>
        <w:tc>
          <w:tcPr>
            <w:tcW w:type="dxa" w:w="4824"/>
          </w:tcPr>
          <w:p>
            <w:r>
              <w:t>30 秒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