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  <w:jc w:val="center"/>
      </w:pPr>
      <w:r>
        <w:rPr>
          <w:rFonts w:ascii="微软雅黑" w:hAnsi="微软雅黑" w:eastAsia="微软雅黑"/>
          <w:b/>
          <w:color w:val="000000"/>
          <w:sz w:val="44"/>
        </w:rPr>
        <w:t>智慧海洋台风路径可视化系统 PPT 素材要求清单</w:t>
      </w:r>
    </w:p>
    <w:p>
      <w:pPr>
        <w:spacing w:after="280"/>
        <w:jc w:val="center"/>
      </w:pPr>
      <w:r>
        <w:rPr>
          <w:rFonts w:ascii="微软雅黑" w:hAnsi="微软雅黑" w:eastAsia="微软雅黑"/>
          <w:color w:val="606060"/>
          <w:sz w:val="24"/>
        </w:rPr>
        <w:t>基于 10 页版带布局大纲逐页整理 · 共 10 页 · 42 项素材</w:t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本清单根据《智慧海洋台风路径可视化系统 10 页汇报大纲（带布局建议）》逐页整理，列出每页制作 PPT 时所需的图片、截图、视频、图标等素材。每项素材均标注了内容要求、建议规格和优先级，便于按清单逐项准备。优先级含义：P0 必须提供，缺失则该页无法完整呈现；P1 建议提供，可显著提升演示效果；P2 可选，视时间与资源情况补充。</w:t>
      </w: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一、通用规范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要求说明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截图分辨率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系统界面截图不低于 1920×1080，导出 PNG 格式，确保文字清晰可辨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照片/背景图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不低于 1920×1080，JPG 或 PNG，深色调优先，便于叠加白色文字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视频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统一 MP4（H.264 编码），1080p，单段不超过 30 秒；如需嵌入演示可用 GIF 替代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SVG 或透明底 PNG，单色或双色风格统一，建议尺寸 64×64 以上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色系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全篇建议以深海蓝（#1B3A5C）为主色、台风橙（#E8703A）为强调色，图表配色需协调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命名规范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建议格式：Slide 编号_素材名称_版本，例如 05_原场截图_v1.png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标注</w:t>
            </w:r>
          </w:p>
        </w:tc>
        <w:tc>
          <w:tcPr>
            <w:tcW w:type="dxa" w:w="765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截图上需要标注或圈注的位置，请在 PPT 中用形状叠加，不要直接烧录在图片里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1　封面页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布局：左右分栏：左侧标题信息，右侧背景图或系统截图。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封面主视觉背景图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台风卫星云图或海洋风暴场景，深色调，气势感强；覆盖右侧或整页背景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1920×1080，JPG/PNG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系统首页/地图界面截图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平台在线地图界面全景，体现"打开即用"；放在右栏或作为背景局部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≥1200×900，PNG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1-3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项目/单位 LOGO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如有单位或项目标识，放在封面适当位置；无则可省略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透明底 PNG，高度≥120px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P2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2　项目背景与问题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布局：左 55% 三张问题卡，右 45% 一张对策卡。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台风灾害场景图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沿海台风/风暴潮灾害现场或卫星视角，用于第一张问题卡配图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≥800×600，JPG/PNG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传统产品示例截图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一张典型的静态图文报表或纸质报表截图，体现"难以快速看清变化"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≥600×450，PNG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2-3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WRF 原始风场偏差示意图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台风核心区风场与观测/实际的偏差对比示意，说明"原始风场有偏差"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≥800×600，PNG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2-4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对策卡三要素图标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"看得见 / 可交互 / 可检验"各配一个小图标，风格统一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64×64 透明底 PNG，×3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3　系统定位与数据规模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布局：上方定位条 + 中部 4 张 KPI 卡 + 底部使用方式。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3-1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KPI 卡图标 4 个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台风个例、逐时风场、湾区目标、远洋航线各配一个图标，置于数字卡左上或左侧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64×64 透明底 PNG，×4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3-2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系统全景截图（背景可选）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系统全貌或地图场景虚化作底部/背景装饰，增强"平台"感；也可不用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1920×1080，PNG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P2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4　技术路线：算法与可视化融合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布局：左 60% 四层流程卡，右 40% 关键能力列表。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四层架构流程图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图形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数据层→算法层→展示层→业务层的纵向流程图，含层名与一句话说明；可用 PPT 形状绘制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≥1200×800，PNG/SVG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关键能力图标 4 个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同格式接入、一键切换、差值着色、地图直读各配一个小图标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64×64 透明底 PNG，×4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4-3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订正算法核心机理示意（占位）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算法核心机理示意图或简化框图；大纲标注"请补充"，如暂无可用占位框标注"待补充"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≥800×600，PNG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5　核心成果 1：原场 / 订正场一键对比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布局：上标题，中部两栏对比，底部差值色标。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5-1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原场风场渲染截图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系统中原场（订正前）风场渲染效果，台风核心区清晰可见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≥1200×900，PNG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5-2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订正场风场渲染截图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同一时刻、同一视角的订正后风场渲染，与 5-1 形成直接对比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≥1200×900，PNG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5-3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差值着色截图 + 色标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差值着色视图及色标图例，体现"改了哪里、改了多少"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≥1200×900，PNG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5-4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一键切换演示短视频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视频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原场→订正场→差值三态切换的录屏，突出"一键"操作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≤15s，MP4/GIF，1080p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6　核心成果 2：台风全生命周期可视化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布局：上 60% 时间轴 + 路径图，下 40% 三段阶段卡。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6-1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台风全生命周期路径图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从生成到消散的完整路径渲染图，标注生成、登陆、巅峰、消散四个节点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≥1200×800，PNG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6-2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逐时风场动画视频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视频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风场逐时演变动画录屏，包含风眼自动跟随效果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≤30s，MP4/GIF，1080p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6-3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时间轴交互截图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时间轴控件及其回看功能的界面截图，可标注关键时间节点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≥1200×400，PNG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7　核心成果 3：六维雷达与风险分级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布局：左 55% 六维雷达图，右 45% 风险分级卡。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7-1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六维雷达图截图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点击某个重点目标后弹出的六维预警雷达（风速、风浪、大风时长、台风中心、路径逼近、设施暴露）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≥800×800，PNG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7-2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风险分级地图截图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26 个湾区重点目标 + 7 条远洋航线的风险分级着色地图全景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≥1200×900，PNG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7-3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交互演示短视频（可选）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视频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点击目标→弹出雷达→查看分级的完整操作录屏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≤20s，MP4/GIF，1080p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P2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8　核心价值：让算法成果真正可用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布局：2×2 四象限卡 + 底部总结条。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8-1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四象限图标 4 个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看得见、说得清、用得上、可复制各配一个小图标，置于象限卡左上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64×64 透明底 PNG，×4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8-2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三值同屏截图（可选）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截图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原场、订正、差值三值同屏对比的界面截图，佐证"说得清"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≥1200×700，PNG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P2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9　推广与展望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布局：左 50% 延伸方向，右 50% 落地路径。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9-1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延伸要素示意图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风暴潮、浪高等海洋要素的示意小图或图标组合，置于三张延伸卡内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≥600×450 或图标 64×64，PNG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9-2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可复用框架简图（可选）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图形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同一框架接入多要素/多台风/多方案的简图，体现"可复制"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≥1200×600，PNG/SVG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P2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幻灯片 10　谢谢聆听与演示入口</w:t>
      </w:r>
    </w:p>
    <w:p>
      <w:pPr>
        <w:keepNext/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布局：居中主视觉 + 底部入口条。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素材名称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内容要求与用途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规格建议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10-1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感谢页主视觉背景图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与封面呼应的台风/海洋主视觉，深色调，叠加白色文字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1920×1080，JPG/PNG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10-2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演示地址二维码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图形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指向 http://43.154.210.202:8899 的二维码，方便现场扫码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≥300×300，PNG，带白边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P1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10-3</w:t>
            </w:r>
          </w:p>
        </w:tc>
        <w:tc>
          <w:tcPr>
            <w:tcW w:type="dxa" w:w="181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LOGO（可选）</w:t>
            </w:r>
          </w:p>
        </w:tc>
        <w:tc>
          <w:tcPr>
            <w:tcW w:type="dxa" w:w="102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3969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与封面呼应的单位/项目标识</w:t>
            </w:r>
          </w:p>
        </w:tc>
        <w:tc>
          <w:tcPr>
            <w:tcW w:type="dxa" w:w="147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透明底 PNG</w:t>
            </w:r>
          </w:p>
        </w:tc>
        <w:tc>
          <w:tcPr>
            <w:tcW w:type="dxa" w:w="680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P2</w:t>
            </w:r>
          </w:p>
        </w:tc>
      </w:tr>
    </w:tbl>
    <w:p>
      <w:pPr>
        <w:spacing w:after="40" w:before="40"/>
      </w:pPr>
    </w:p>
    <w:p>
      <w:pPr>
        <w:pStyle w:val="Heading1"/>
        <w:keepNext/>
        <w:spacing w:before="280" w:after="120"/>
      </w:pPr>
      <w:r>
        <w:rPr>
          <w:rFonts w:ascii="微软雅黑" w:hAnsi="微软雅黑" w:eastAsia="微软雅黑"/>
          <w:color w:val="000000"/>
          <w:sz w:val="32"/>
        </w:rPr>
        <w:t>二、素材汇总统计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素材类型</w:t>
            </w:r>
          </w:p>
        </w:tc>
        <w:tc>
          <w:tcPr>
            <w:tcW w:type="dxa" w:w="113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1F3864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图片（照片/示意图）</w:t>
            </w:r>
          </w:p>
        </w:tc>
        <w:tc>
          <w:tcPr>
            <w:tcW w:type="dxa" w:w="113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7 项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封面/感谢页主视觉×2、灾害场景×1、传统产品示例×1、风场偏差示意×1、延伸要素示意×1、算法机理占位×1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系统截图</w:t>
            </w:r>
          </w:p>
        </w:tc>
        <w:tc>
          <w:tcPr>
            <w:tcW w:type="dxa" w:w="113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9 项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各页系统界面截图，需从在线平台实际截取，注意分辨率与标注方式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视频/GIF</w:t>
            </w:r>
          </w:p>
        </w:tc>
        <w:tc>
          <w:tcPr>
            <w:tcW w:type="dxa" w:w="113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4 项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一键切换×1、风场动画×1、六维雷达交互×1（可选），统一 MP4 1080p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图形/图表</w:t>
            </w:r>
          </w:p>
        </w:tc>
        <w:tc>
          <w:tcPr>
            <w:tcW w:type="dxa" w:w="113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3 项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5F5F5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四层架构图×1、可复用框架简图×1（可选）、二维码×1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图标</w:t>
            </w:r>
          </w:p>
        </w:tc>
        <w:tc>
          <w:tcPr>
            <w:tcW w:type="dxa" w:w="1134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5 组共 19 枚</w:t>
            </w:r>
          </w:p>
        </w:tc>
        <w:tc>
          <w:tcPr>
            <w:tcW w:type="dxa" w:w="6236"/>
            <w:tcBorders>
              <w:top w:val="single" w:sz="4" w:color="D9D9D9"/>
              <w:bottom w:val="single" w:sz="4" w:color="D9D9D9"/>
              <w:start w:val="single" w:sz="4" w:color="D9D9D9"/>
              <w:end w:val="single" w:sz="4" w:color="D9D9D9"/>
            </w:tcBorders>
            <w:shd w:val="clear" w:fill="FFFFFF"/>
            <w:vAlign w:val="center"/>
          </w:tcPr>
          <w:p>
            <w:pPr>
              <w:spacing w:before="60" w:after="60" w:line="288" w:lineRule="auto"/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对策卡×3、KPI×4、能力×4、四象限×4、延伸要素若干；风格统一</w:t>
            </w:r>
          </w:p>
        </w:tc>
      </w:tr>
    </w:tbl>
    <w:p>
      <w:pPr>
        <w:spacing w:after="80" w:line="312" w:lineRule="auto"/>
      </w:pPr>
      <w:r>
        <w:rPr>
          <w:rFonts w:ascii="微软雅黑" w:hAnsi="微软雅黑" w:eastAsia="微软雅黑"/>
          <w:b w:val="0"/>
          <w:color w:val="000000"/>
          <w:sz w:val="22"/>
        </w:rPr>
      </w:r>
    </w:p>
    <w:p>
      <w:pPr>
        <w:spacing w:after="120" w:line="312" w:lineRule="auto"/>
      </w:pPr>
      <w:r>
        <w:rPr>
          <w:rFonts w:ascii="微软雅黑" w:hAnsi="微软雅黑" w:eastAsia="微软雅黑"/>
          <w:b w:val="0"/>
          <w:color w:val="000000"/>
          <w:sz w:val="20"/>
        </w:rPr>
        <w:t>注：以上数量按独立素材文件计。同一素材在多页复用（如 LOGO、主视觉）只算一次。视频素材均从在线平台录屏获取，录制前请确认演示环境网络稳定、地图瓦片已预加载。</w:t>
      </w: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